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4D27" w:rsidRPr="00484D27" w:rsidRDefault="00484D27" w:rsidP="002119F5">
      <w:pPr>
        <w:spacing w:after="0"/>
        <w:jc w:val="center"/>
        <w:rPr>
          <w:rFonts w:ascii="Calibri" w:eastAsia="Calibri" w:hAnsi="Calibri"/>
          <w:b/>
          <w:bCs/>
          <w:color w:val="1F497D"/>
          <w:kern w:val="24"/>
          <w:sz w:val="28"/>
          <w:szCs w:val="24"/>
        </w:rPr>
      </w:pPr>
      <w:r w:rsidRPr="00484D27">
        <w:rPr>
          <w:rFonts w:ascii="Calibri" w:eastAsia="Calibri" w:hAnsi="Calibri"/>
          <w:b/>
          <w:bCs/>
          <w:color w:val="1F497D"/>
          <w:kern w:val="24"/>
          <w:sz w:val="28"/>
          <w:szCs w:val="24"/>
        </w:rPr>
        <w:t>Getting Beyond the Label: What makes high-quality HIPs?</w:t>
      </w:r>
    </w:p>
    <w:p w:rsidR="00484D27" w:rsidRDefault="00BD33C0" w:rsidP="00484D27">
      <w:pPr>
        <w:spacing w:after="0"/>
        <w:jc w:val="center"/>
        <w:rPr>
          <w:rFonts w:ascii="Calibri" w:eastAsia="Calibri" w:hAnsi="Calibri"/>
          <w:b/>
          <w:bCs/>
          <w:color w:val="1F497D"/>
          <w:kern w:val="24"/>
          <w:sz w:val="24"/>
          <w:szCs w:val="88"/>
        </w:rPr>
      </w:pPr>
      <w:r w:rsidRPr="00711305">
        <w:rPr>
          <w:rFonts w:ascii="Calibri" w:eastAsia="Calibri" w:hAnsi="Calibri"/>
          <w:b/>
          <w:bCs/>
          <w:color w:val="1F497D"/>
          <w:kern w:val="24"/>
          <w:sz w:val="24"/>
          <w:szCs w:val="88"/>
        </w:rPr>
        <w:t xml:space="preserve">Jillian Kinzie, IU Center for Postsecondary </w:t>
      </w:r>
      <w:r w:rsidR="0072470C" w:rsidRPr="00711305">
        <w:rPr>
          <w:rFonts w:ascii="Calibri" w:eastAsia="Calibri" w:hAnsi="Calibri"/>
          <w:b/>
          <w:bCs/>
          <w:color w:val="1F497D"/>
          <w:kern w:val="24"/>
          <w:sz w:val="24"/>
          <w:szCs w:val="88"/>
        </w:rPr>
        <w:t>Research</w:t>
      </w:r>
      <w:r w:rsidR="00484D27">
        <w:rPr>
          <w:rFonts w:ascii="Calibri" w:eastAsia="Calibri" w:hAnsi="Calibri"/>
          <w:b/>
          <w:bCs/>
          <w:color w:val="1F497D"/>
          <w:kern w:val="24"/>
          <w:sz w:val="24"/>
          <w:szCs w:val="88"/>
        </w:rPr>
        <w:t xml:space="preserve"> &amp; Laurette Foster, Prairie View A&amp;M University</w:t>
      </w:r>
    </w:p>
    <w:p w:rsidR="002119F5" w:rsidRPr="002119F5" w:rsidRDefault="002119F5" w:rsidP="002119F5">
      <w:pPr>
        <w:spacing w:after="0"/>
        <w:jc w:val="center"/>
        <w:rPr>
          <w:rFonts w:ascii="Calibri" w:eastAsia="Calibri" w:hAnsi="Calibri"/>
          <w:b/>
          <w:bCs/>
          <w:color w:val="1F497D"/>
          <w:kern w:val="24"/>
          <w:sz w:val="8"/>
          <w:szCs w:val="88"/>
        </w:rPr>
      </w:pPr>
    </w:p>
    <w:p w:rsidR="002119F5" w:rsidRDefault="00484D27" w:rsidP="002119F5">
      <w:pPr>
        <w:spacing w:after="0"/>
        <w:jc w:val="center"/>
        <w:rPr>
          <w:rFonts w:ascii="Calibri" w:eastAsia="Calibri" w:hAnsi="Calibri"/>
          <w:b/>
          <w:bCs/>
          <w:color w:val="1F497D"/>
          <w:kern w:val="24"/>
          <w:sz w:val="24"/>
          <w:szCs w:val="88"/>
        </w:rPr>
      </w:pPr>
      <w:r>
        <w:rPr>
          <w:rFonts w:ascii="Calibri" w:eastAsia="Calibri" w:hAnsi="Calibri"/>
          <w:b/>
          <w:bCs/>
          <w:color w:val="1F497D"/>
          <w:kern w:val="24"/>
          <w:sz w:val="24"/>
          <w:szCs w:val="88"/>
        </w:rPr>
        <w:t>Evergreen Summer Institute 2019</w:t>
      </w:r>
    </w:p>
    <w:p w:rsidR="002119F5" w:rsidRPr="00FF42D3" w:rsidRDefault="002119F5" w:rsidP="002119F5">
      <w:pPr>
        <w:spacing w:after="0"/>
        <w:jc w:val="center"/>
        <w:rPr>
          <w:rFonts w:ascii="Calibri" w:eastAsia="Calibri" w:hAnsi="Calibri"/>
          <w:b/>
          <w:bCs/>
          <w:color w:val="1F497D"/>
          <w:kern w:val="24"/>
          <w:sz w:val="10"/>
          <w:szCs w:val="88"/>
        </w:rPr>
      </w:pPr>
    </w:p>
    <w:p w:rsidR="00F91390" w:rsidRDefault="002119F5" w:rsidP="00C14A08">
      <w:pPr>
        <w:ind w:left="360"/>
        <w:rPr>
          <w:rFonts w:ascii="Calibri" w:eastAsia="Calibri" w:hAnsi="Calibri"/>
          <w:b/>
          <w:bCs/>
          <w:color w:val="1F497D"/>
          <w:kern w:val="24"/>
          <w:sz w:val="23"/>
          <w:szCs w:val="23"/>
        </w:rPr>
      </w:pPr>
      <w:r w:rsidRPr="00C14A08">
        <w:rPr>
          <w:rFonts w:ascii="Calibri" w:eastAsia="Calibri" w:hAnsi="Calibri"/>
          <w:b/>
          <w:bCs/>
          <w:color w:val="1F497D"/>
          <w:kern w:val="24"/>
          <w:sz w:val="24"/>
          <w:szCs w:val="23"/>
        </w:rPr>
        <w:t>High-Impact Practices (</w:t>
      </w:r>
      <w:r w:rsidR="008804FE" w:rsidRPr="00C14A08">
        <w:rPr>
          <w:rFonts w:ascii="Calibri" w:eastAsia="Calibri" w:hAnsi="Calibri"/>
          <w:b/>
          <w:bCs/>
          <w:color w:val="1F497D"/>
          <w:kern w:val="24"/>
          <w:sz w:val="24"/>
          <w:szCs w:val="23"/>
        </w:rPr>
        <w:t>HIPs</w:t>
      </w:r>
      <w:r w:rsidRPr="00C14A08">
        <w:rPr>
          <w:rFonts w:ascii="Calibri" w:eastAsia="Calibri" w:hAnsi="Calibri"/>
          <w:b/>
          <w:bCs/>
          <w:color w:val="1F497D"/>
          <w:kern w:val="24"/>
          <w:sz w:val="24"/>
          <w:szCs w:val="23"/>
        </w:rPr>
        <w:t>)</w:t>
      </w:r>
      <w:r w:rsidR="008804FE" w:rsidRPr="00C14A08">
        <w:rPr>
          <w:rFonts w:ascii="Calibri" w:eastAsia="Calibri" w:hAnsi="Calibri"/>
          <w:b/>
          <w:bCs/>
          <w:color w:val="1F497D"/>
          <w:kern w:val="24"/>
          <w:sz w:val="24"/>
          <w:szCs w:val="23"/>
        </w:rPr>
        <w:t xml:space="preserve"> </w:t>
      </w:r>
      <w:r w:rsidR="008804FE" w:rsidRPr="00B44749">
        <w:rPr>
          <w:rFonts w:ascii="Calibri" w:eastAsia="Calibri" w:hAnsi="Calibri"/>
          <w:b/>
          <w:bCs/>
          <w:color w:val="1F497D"/>
          <w:kern w:val="24"/>
          <w:sz w:val="23"/>
          <w:szCs w:val="23"/>
        </w:rPr>
        <w:t>= Educational experiences that make a significant difference to student persistence, learning outcomes, and student success.</w:t>
      </w:r>
      <w:r w:rsidR="00C228FC" w:rsidRPr="00B44749">
        <w:rPr>
          <w:rFonts w:ascii="Calibri" w:eastAsia="Calibri" w:hAnsi="Calibri"/>
          <w:b/>
          <w:bCs/>
          <w:color w:val="1F497D"/>
          <w:kern w:val="24"/>
          <w:sz w:val="23"/>
          <w:szCs w:val="23"/>
        </w:rPr>
        <w:t xml:space="preserve"> Beneficial to all students, particularly historically underrepresented students. Yet, not all students get to partake in HIPs.  Abo</w:t>
      </w:r>
      <w:r w:rsidR="00B44749" w:rsidRPr="00B44749">
        <w:rPr>
          <w:rFonts w:ascii="Calibri" w:eastAsia="Calibri" w:hAnsi="Calibri"/>
          <w:b/>
          <w:bCs/>
          <w:color w:val="1F497D"/>
          <w:kern w:val="24"/>
          <w:sz w:val="23"/>
          <w:szCs w:val="23"/>
        </w:rPr>
        <w:t xml:space="preserve">ut </w:t>
      </w:r>
      <w:r w:rsidR="00C06902">
        <w:rPr>
          <w:rFonts w:ascii="Calibri" w:eastAsia="Calibri" w:hAnsi="Calibri"/>
          <w:b/>
          <w:bCs/>
          <w:color w:val="1F497D"/>
          <w:kern w:val="24"/>
          <w:sz w:val="23"/>
          <w:szCs w:val="23"/>
        </w:rPr>
        <w:t>23%</w:t>
      </w:r>
      <w:r w:rsidR="00B44749" w:rsidRPr="00B44749">
        <w:rPr>
          <w:rFonts w:ascii="Calibri" w:eastAsia="Calibri" w:hAnsi="Calibri"/>
          <w:b/>
          <w:bCs/>
          <w:color w:val="1F497D"/>
          <w:kern w:val="24"/>
          <w:sz w:val="23"/>
          <w:szCs w:val="23"/>
        </w:rPr>
        <w:t xml:space="preserve"> of students across all 4-year C&amp;Us, and about 11% in 2-year sector</w:t>
      </w:r>
      <w:r w:rsidR="00C228FC" w:rsidRPr="00B44749">
        <w:rPr>
          <w:rFonts w:ascii="Calibri" w:eastAsia="Calibri" w:hAnsi="Calibri"/>
          <w:b/>
          <w:bCs/>
          <w:color w:val="1F497D"/>
          <w:kern w:val="24"/>
          <w:sz w:val="23"/>
          <w:szCs w:val="23"/>
        </w:rPr>
        <w:t xml:space="preserve">, participate in LCs.  </w:t>
      </w:r>
      <w:r w:rsidR="00B44749" w:rsidRPr="00B44749">
        <w:rPr>
          <w:rFonts w:ascii="Calibri" w:eastAsia="Calibri" w:hAnsi="Calibri"/>
          <w:b/>
          <w:bCs/>
          <w:color w:val="1F497D"/>
          <w:kern w:val="24"/>
          <w:sz w:val="23"/>
          <w:szCs w:val="23"/>
        </w:rPr>
        <w:t>According to NSSE, f</w:t>
      </w:r>
      <w:r w:rsidR="005A76C7" w:rsidRPr="00B44749">
        <w:rPr>
          <w:rFonts w:ascii="Calibri" w:eastAsia="Calibri" w:hAnsi="Calibri"/>
          <w:b/>
          <w:bCs/>
          <w:color w:val="1F497D"/>
          <w:kern w:val="24"/>
          <w:sz w:val="23"/>
          <w:szCs w:val="23"/>
        </w:rPr>
        <w:t xml:space="preserve">irst-generation, adults, and international students a little </w:t>
      </w:r>
      <w:r w:rsidR="005A76C7" w:rsidRPr="00B44749">
        <w:rPr>
          <w:rFonts w:ascii="Calibri" w:eastAsia="Calibri" w:hAnsi="Calibri"/>
          <w:b/>
          <w:bCs/>
          <w:i/>
          <w:iCs/>
          <w:color w:val="1F497D"/>
          <w:kern w:val="24"/>
          <w:sz w:val="23"/>
          <w:szCs w:val="23"/>
        </w:rPr>
        <w:t xml:space="preserve">less likely </w:t>
      </w:r>
      <w:r w:rsidR="005A76C7" w:rsidRPr="00B44749">
        <w:rPr>
          <w:rFonts w:ascii="Calibri" w:eastAsia="Calibri" w:hAnsi="Calibri"/>
          <w:b/>
          <w:bCs/>
          <w:color w:val="1F497D"/>
          <w:kern w:val="24"/>
          <w:sz w:val="23"/>
          <w:szCs w:val="23"/>
        </w:rPr>
        <w:t>to participate in LCs</w:t>
      </w:r>
      <w:r w:rsidR="00B44749" w:rsidRPr="00B44749">
        <w:rPr>
          <w:rFonts w:ascii="Calibri" w:eastAsia="Calibri" w:hAnsi="Calibri"/>
          <w:b/>
          <w:bCs/>
          <w:color w:val="1F497D"/>
          <w:kern w:val="24"/>
          <w:sz w:val="23"/>
          <w:szCs w:val="23"/>
        </w:rPr>
        <w:t>;</w:t>
      </w:r>
      <w:r w:rsidR="00C228FC" w:rsidRPr="00B44749">
        <w:rPr>
          <w:rFonts w:ascii="Calibri" w:eastAsia="Calibri" w:hAnsi="Calibri"/>
          <w:b/>
          <w:bCs/>
          <w:color w:val="1F497D"/>
          <w:kern w:val="24"/>
          <w:sz w:val="23"/>
          <w:szCs w:val="23"/>
        </w:rPr>
        <w:t xml:space="preserve"> </w:t>
      </w:r>
      <w:r w:rsidR="00B44749" w:rsidRPr="00B44749">
        <w:rPr>
          <w:rFonts w:ascii="Calibri" w:eastAsia="Calibri" w:hAnsi="Calibri"/>
          <w:b/>
          <w:bCs/>
          <w:color w:val="1F497D"/>
          <w:kern w:val="24"/>
          <w:sz w:val="23"/>
          <w:szCs w:val="23"/>
        </w:rPr>
        <w:t>s</w:t>
      </w:r>
      <w:r w:rsidR="005A76C7" w:rsidRPr="00B44749">
        <w:rPr>
          <w:rFonts w:ascii="Calibri" w:eastAsia="Calibri" w:hAnsi="Calibri"/>
          <w:b/>
          <w:bCs/>
          <w:color w:val="1F497D"/>
          <w:kern w:val="24"/>
          <w:sz w:val="23"/>
          <w:szCs w:val="23"/>
        </w:rPr>
        <w:t xml:space="preserve">tudents of different racial-ethnic groups had an </w:t>
      </w:r>
      <w:r w:rsidR="005A76C7" w:rsidRPr="00B44749">
        <w:rPr>
          <w:rFonts w:ascii="Calibri" w:eastAsia="Calibri" w:hAnsi="Calibri"/>
          <w:b/>
          <w:bCs/>
          <w:i/>
          <w:iCs/>
          <w:color w:val="1F497D"/>
          <w:kern w:val="24"/>
          <w:sz w:val="23"/>
          <w:szCs w:val="23"/>
        </w:rPr>
        <w:t>equal likelihood of participation</w:t>
      </w:r>
      <w:r w:rsidR="005A76C7" w:rsidRPr="00B44749">
        <w:rPr>
          <w:rFonts w:ascii="Calibri" w:eastAsia="Calibri" w:hAnsi="Calibri"/>
          <w:b/>
          <w:bCs/>
          <w:color w:val="1F497D"/>
          <w:kern w:val="24"/>
          <w:sz w:val="23"/>
          <w:szCs w:val="23"/>
        </w:rPr>
        <w:t xml:space="preserve"> in LCs</w:t>
      </w:r>
      <w:r w:rsidR="00B44749" w:rsidRPr="00B44749">
        <w:rPr>
          <w:rFonts w:ascii="Calibri" w:eastAsia="Calibri" w:hAnsi="Calibri"/>
          <w:b/>
          <w:bCs/>
          <w:color w:val="1F497D"/>
          <w:kern w:val="24"/>
          <w:sz w:val="23"/>
          <w:szCs w:val="23"/>
        </w:rPr>
        <w:t xml:space="preserve">; </w:t>
      </w:r>
      <w:r w:rsidR="00C228FC" w:rsidRPr="00B44749">
        <w:rPr>
          <w:rFonts w:ascii="Calibri" w:eastAsia="Calibri" w:hAnsi="Calibri"/>
          <w:b/>
          <w:bCs/>
          <w:color w:val="1F497D"/>
          <w:kern w:val="24"/>
          <w:sz w:val="23"/>
          <w:szCs w:val="23"/>
        </w:rPr>
        <w:t>Biol. science, education, engineering</w:t>
      </w:r>
      <w:r w:rsidR="00B44749" w:rsidRPr="00B44749">
        <w:rPr>
          <w:rFonts w:ascii="Calibri" w:eastAsia="Calibri" w:hAnsi="Calibri"/>
          <w:b/>
          <w:bCs/>
          <w:color w:val="1F497D"/>
          <w:kern w:val="24"/>
          <w:sz w:val="23"/>
          <w:szCs w:val="23"/>
        </w:rPr>
        <w:t xml:space="preserve"> majors are</w:t>
      </w:r>
      <w:r w:rsidR="00C228FC" w:rsidRPr="00B44749">
        <w:rPr>
          <w:rFonts w:ascii="Calibri" w:eastAsia="Calibri" w:hAnsi="Calibri"/>
          <w:b/>
          <w:bCs/>
          <w:color w:val="1F497D"/>
          <w:kern w:val="24"/>
          <w:sz w:val="23"/>
          <w:szCs w:val="23"/>
        </w:rPr>
        <w:t xml:space="preserve"> </w:t>
      </w:r>
      <w:r w:rsidR="005A76C7" w:rsidRPr="00B44749">
        <w:rPr>
          <w:rFonts w:ascii="Calibri" w:eastAsia="Calibri" w:hAnsi="Calibri"/>
          <w:b/>
          <w:bCs/>
          <w:i/>
          <w:iCs/>
          <w:color w:val="1F497D"/>
          <w:kern w:val="24"/>
          <w:sz w:val="23"/>
          <w:szCs w:val="23"/>
        </w:rPr>
        <w:t xml:space="preserve">more likely </w:t>
      </w:r>
      <w:r w:rsidR="00C228FC" w:rsidRPr="00B44749">
        <w:rPr>
          <w:rFonts w:ascii="Calibri" w:eastAsia="Calibri" w:hAnsi="Calibri"/>
          <w:b/>
          <w:bCs/>
          <w:color w:val="1F497D"/>
          <w:kern w:val="24"/>
          <w:sz w:val="23"/>
          <w:szCs w:val="23"/>
        </w:rPr>
        <w:t>be in LC</w:t>
      </w:r>
      <w:r w:rsidR="00B44749" w:rsidRPr="00B44749">
        <w:rPr>
          <w:rFonts w:ascii="Calibri" w:eastAsia="Calibri" w:hAnsi="Calibri"/>
          <w:b/>
          <w:bCs/>
          <w:color w:val="1F497D"/>
          <w:kern w:val="24"/>
          <w:sz w:val="23"/>
          <w:szCs w:val="23"/>
        </w:rPr>
        <w:t>s, and p</w:t>
      </w:r>
      <w:r w:rsidR="00C228FC" w:rsidRPr="00B44749">
        <w:rPr>
          <w:rFonts w:ascii="Calibri" w:eastAsia="Calibri" w:hAnsi="Calibri"/>
          <w:b/>
          <w:bCs/>
          <w:color w:val="1F497D"/>
          <w:kern w:val="24"/>
          <w:sz w:val="23"/>
          <w:szCs w:val="23"/>
        </w:rPr>
        <w:t>hysical sciences,</w:t>
      </w:r>
      <w:r w:rsidR="00C06902">
        <w:rPr>
          <w:rFonts w:ascii="Calibri" w:eastAsia="Calibri" w:hAnsi="Calibri"/>
          <w:b/>
          <w:bCs/>
          <w:color w:val="1F497D"/>
          <w:kern w:val="24"/>
          <w:sz w:val="23"/>
          <w:szCs w:val="23"/>
        </w:rPr>
        <w:t xml:space="preserve"> and</w:t>
      </w:r>
      <w:bookmarkStart w:id="0" w:name="_GoBack"/>
      <w:bookmarkEnd w:id="0"/>
      <w:r w:rsidR="00C228FC" w:rsidRPr="00B44749">
        <w:rPr>
          <w:rFonts w:ascii="Calibri" w:eastAsia="Calibri" w:hAnsi="Calibri"/>
          <w:b/>
          <w:bCs/>
          <w:color w:val="1F497D"/>
          <w:kern w:val="24"/>
          <w:sz w:val="23"/>
          <w:szCs w:val="23"/>
        </w:rPr>
        <w:t xml:space="preserve"> </w:t>
      </w:r>
      <w:r w:rsidR="005A76C7" w:rsidRPr="00B44749">
        <w:rPr>
          <w:rFonts w:ascii="Calibri" w:eastAsia="Calibri" w:hAnsi="Calibri"/>
          <w:b/>
          <w:bCs/>
          <w:color w:val="1F497D"/>
          <w:kern w:val="24"/>
          <w:sz w:val="23"/>
          <w:szCs w:val="23"/>
        </w:rPr>
        <w:t xml:space="preserve">undecideds </w:t>
      </w:r>
      <w:r w:rsidR="005A76C7" w:rsidRPr="00B44749">
        <w:rPr>
          <w:rFonts w:ascii="Calibri" w:eastAsia="Calibri" w:hAnsi="Calibri"/>
          <w:b/>
          <w:bCs/>
          <w:i/>
          <w:iCs/>
          <w:color w:val="1F497D"/>
          <w:kern w:val="24"/>
          <w:sz w:val="23"/>
          <w:szCs w:val="23"/>
        </w:rPr>
        <w:t>less likely</w:t>
      </w:r>
      <w:r w:rsidR="00C228FC" w:rsidRPr="00B44749">
        <w:rPr>
          <w:rFonts w:ascii="Calibri" w:eastAsia="Calibri" w:hAnsi="Calibri"/>
          <w:b/>
          <w:bCs/>
          <w:i/>
          <w:iCs/>
          <w:color w:val="1F497D"/>
          <w:kern w:val="24"/>
          <w:sz w:val="23"/>
          <w:szCs w:val="23"/>
        </w:rPr>
        <w:t>.</w:t>
      </w:r>
      <w:r w:rsidR="005A76C7" w:rsidRPr="00B44749">
        <w:rPr>
          <w:rFonts w:ascii="Calibri" w:eastAsia="Calibri" w:hAnsi="Calibri"/>
          <w:b/>
          <w:bCs/>
          <w:color w:val="1F497D"/>
          <w:kern w:val="24"/>
          <w:sz w:val="23"/>
          <w:szCs w:val="23"/>
        </w:rPr>
        <w:t xml:space="preserve"> </w:t>
      </w:r>
    </w:p>
    <w:tbl>
      <w:tblPr>
        <w:tblStyle w:val="TableGrid"/>
        <w:tblW w:w="0" w:type="auto"/>
        <w:tblInd w:w="360" w:type="dxa"/>
        <w:tblLook w:val="04A0" w:firstRow="1" w:lastRow="0" w:firstColumn="1" w:lastColumn="0" w:noHBand="0" w:noVBand="1"/>
      </w:tblPr>
      <w:tblGrid>
        <w:gridCol w:w="5036"/>
        <w:gridCol w:w="5394"/>
      </w:tblGrid>
      <w:tr w:rsidR="00FF42D3" w:rsidTr="00FF42D3">
        <w:tc>
          <w:tcPr>
            <w:tcW w:w="5395" w:type="dxa"/>
          </w:tcPr>
          <w:p w:rsidR="00FF42D3" w:rsidRDefault="00FF42D3" w:rsidP="00C14A08">
            <w:pPr>
              <w:rPr>
                <w:rFonts w:ascii="Calibri" w:eastAsia="Calibri" w:hAnsi="Calibri"/>
                <w:b/>
                <w:bCs/>
                <w:color w:val="1F497D"/>
                <w:kern w:val="24"/>
                <w:sz w:val="23"/>
                <w:szCs w:val="23"/>
              </w:rPr>
            </w:pPr>
            <w:r w:rsidRPr="00FF42D3">
              <w:rPr>
                <w:rFonts w:ascii="Calibri" w:eastAsia="Calibri" w:hAnsi="Calibri"/>
                <w:b/>
                <w:bCs/>
                <w:color w:val="1F497D"/>
                <w:kern w:val="24"/>
                <w:sz w:val="23"/>
                <w:szCs w:val="23"/>
              </w:rPr>
              <w:drawing>
                <wp:inline distT="0" distB="0" distL="0" distR="0" wp14:anchorId="2790E419" wp14:editId="08DEBFEF">
                  <wp:extent cx="3086099" cy="2622550"/>
                  <wp:effectExtent l="0" t="0" r="635"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100704" cy="2634961"/>
                          </a:xfrm>
                          <a:prstGeom prst="rect">
                            <a:avLst/>
                          </a:prstGeom>
                        </pic:spPr>
                      </pic:pic>
                    </a:graphicData>
                  </a:graphic>
                </wp:inline>
              </w:drawing>
            </w:r>
          </w:p>
        </w:tc>
        <w:tc>
          <w:tcPr>
            <w:tcW w:w="5395" w:type="dxa"/>
          </w:tcPr>
          <w:p w:rsidR="00FF42D3" w:rsidRDefault="00FF42D3" w:rsidP="00C14A08">
            <w:pPr>
              <w:rPr>
                <w:rFonts w:ascii="Calibri" w:eastAsia="Calibri" w:hAnsi="Calibri"/>
                <w:b/>
                <w:bCs/>
                <w:color w:val="1F497D"/>
                <w:kern w:val="24"/>
                <w:sz w:val="23"/>
                <w:szCs w:val="23"/>
              </w:rPr>
            </w:pPr>
            <w:r w:rsidRPr="00BD33C0">
              <w:rPr>
                <w:noProof/>
              </w:rPr>
              <w:drawing>
                <wp:inline distT="0" distB="0" distL="0" distR="0" wp14:anchorId="35F89D3E" wp14:editId="1DB5171C">
                  <wp:extent cx="3308069" cy="2783205"/>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312327" cy="2786788"/>
                          </a:xfrm>
                          <a:prstGeom prst="rect">
                            <a:avLst/>
                          </a:prstGeom>
                        </pic:spPr>
                      </pic:pic>
                    </a:graphicData>
                  </a:graphic>
                </wp:inline>
              </w:drawing>
            </w:r>
          </w:p>
        </w:tc>
      </w:tr>
    </w:tbl>
    <w:p w:rsidR="00484D27" w:rsidRPr="00FF42D3" w:rsidRDefault="00484D27" w:rsidP="00FF42D3">
      <w:pPr>
        <w:rPr>
          <w:rFonts w:ascii="Times New Roman" w:hAnsi="Times New Roman" w:cs="Times New Roman"/>
          <w:b/>
          <w:sz w:val="14"/>
          <w:szCs w:val="20"/>
        </w:rPr>
      </w:pPr>
    </w:p>
    <w:p w:rsidR="00484D27" w:rsidRPr="00FF42D3" w:rsidRDefault="00484D27" w:rsidP="00484D27">
      <w:pPr>
        <w:spacing w:after="0"/>
        <w:jc w:val="center"/>
        <w:rPr>
          <w:rFonts w:cstheme="minorHAnsi"/>
          <w:b/>
          <w:sz w:val="24"/>
          <w:szCs w:val="21"/>
          <w:u w:val="single"/>
        </w:rPr>
      </w:pPr>
      <w:r w:rsidRPr="00FF42D3">
        <w:rPr>
          <w:rFonts w:cstheme="minorHAnsi"/>
          <w:b/>
          <w:sz w:val="24"/>
          <w:szCs w:val="21"/>
          <w:u w:val="single"/>
        </w:rPr>
        <w:t>High-Impact Practices: Eight Key Elements and Examples for Learning Communities</w:t>
      </w:r>
    </w:p>
    <w:p w:rsidR="00484D27" w:rsidRPr="00484D27" w:rsidRDefault="00484D27" w:rsidP="00484D27">
      <w:pPr>
        <w:spacing w:after="0"/>
        <w:rPr>
          <w:rFonts w:cstheme="minorHAnsi"/>
          <w:b/>
          <w:sz w:val="20"/>
          <w:szCs w:val="21"/>
        </w:rPr>
      </w:pPr>
      <w:r w:rsidRPr="00484D27">
        <w:rPr>
          <w:rFonts w:cstheme="minorHAnsi"/>
          <w:b/>
          <w:sz w:val="20"/>
          <w:szCs w:val="21"/>
        </w:rPr>
        <w:t>(</w:t>
      </w:r>
      <w:proofErr w:type="gramStart"/>
      <w:r w:rsidRPr="00484D27">
        <w:rPr>
          <w:rFonts w:cstheme="minorHAnsi"/>
          <w:b/>
          <w:sz w:val="20"/>
          <w:szCs w:val="21"/>
        </w:rPr>
        <w:t>adapted</w:t>
      </w:r>
      <w:proofErr w:type="gramEnd"/>
      <w:r w:rsidRPr="00484D27">
        <w:rPr>
          <w:rFonts w:cstheme="minorHAnsi"/>
          <w:b/>
          <w:sz w:val="20"/>
          <w:szCs w:val="21"/>
        </w:rPr>
        <w:t xml:space="preserve"> from: </w:t>
      </w:r>
      <w:r w:rsidRPr="00484D27">
        <w:rPr>
          <w:rFonts w:cstheme="minorHAnsi"/>
          <w:b/>
          <w:i/>
          <w:sz w:val="20"/>
          <w:szCs w:val="21"/>
        </w:rPr>
        <w:t>Ensuring Quality &amp; Taking High-Impact Practices to Scale</w:t>
      </w:r>
      <w:r w:rsidRPr="00484D27">
        <w:rPr>
          <w:rFonts w:cstheme="minorHAnsi"/>
          <w:b/>
          <w:sz w:val="20"/>
          <w:szCs w:val="21"/>
        </w:rPr>
        <w:t xml:space="preserve"> by George D. Kuh and Ken O’Donnell, with Case Studies by Sally Reed. Washington, DC: AAC&amp;U, 2013). For information and research from LEAP, see </w:t>
      </w:r>
      <w:hyperlink r:id="rId10" w:history="1">
        <w:r w:rsidRPr="00484D27">
          <w:rPr>
            <w:rStyle w:val="Hyperlink"/>
            <w:rFonts w:cstheme="minorHAnsi"/>
            <w:b/>
            <w:sz w:val="20"/>
            <w:szCs w:val="21"/>
          </w:rPr>
          <w:t>www.aacu.org/leap</w:t>
        </w:r>
      </w:hyperlink>
      <w:r w:rsidRPr="00484D27">
        <w:rPr>
          <w:rFonts w:cstheme="minorHAnsi"/>
          <w:b/>
          <w:sz w:val="20"/>
          <w:szCs w:val="21"/>
        </w:rPr>
        <w:t>.</w:t>
      </w:r>
    </w:p>
    <w:p w:rsidR="00484D27" w:rsidRPr="00484D27" w:rsidRDefault="00484D27" w:rsidP="00484D27">
      <w:pPr>
        <w:spacing w:after="0"/>
        <w:rPr>
          <w:rFonts w:cstheme="minorHAnsi"/>
          <w:b/>
          <w:sz w:val="14"/>
          <w:szCs w:val="21"/>
        </w:rPr>
      </w:pPr>
    </w:p>
    <w:p w:rsidR="00484D27" w:rsidRPr="00484D27" w:rsidRDefault="00484D27" w:rsidP="00484D27">
      <w:pPr>
        <w:rPr>
          <w:rFonts w:cstheme="minorHAnsi"/>
          <w:sz w:val="21"/>
          <w:szCs w:val="21"/>
        </w:rPr>
      </w:pPr>
      <w:r w:rsidRPr="00484D27">
        <w:rPr>
          <w:rFonts w:cstheme="minorHAnsi"/>
          <w:b/>
          <w:sz w:val="21"/>
          <w:szCs w:val="21"/>
        </w:rPr>
        <w:t>Performance expectations set at appropriately high levels.</w:t>
      </w:r>
      <w:r w:rsidRPr="00484D27">
        <w:rPr>
          <w:rFonts w:cstheme="minorHAnsi"/>
          <w:sz w:val="21"/>
          <w:szCs w:val="21"/>
        </w:rPr>
        <w:t xml:space="preserve">  Example: A writing-or inquiry-intensive learning community course in which assignments, projects, and activities require students to integrate learning across courses and experiences -- challenging students to achieve beyond their current ability levels. </w:t>
      </w:r>
    </w:p>
    <w:p w:rsidR="00484D27" w:rsidRPr="00484D27" w:rsidRDefault="00484D27" w:rsidP="00484D27">
      <w:pPr>
        <w:rPr>
          <w:rFonts w:cstheme="minorHAnsi"/>
          <w:sz w:val="21"/>
          <w:szCs w:val="21"/>
        </w:rPr>
      </w:pPr>
      <w:r w:rsidRPr="00484D27">
        <w:rPr>
          <w:rFonts w:cstheme="minorHAnsi"/>
          <w:b/>
          <w:sz w:val="21"/>
          <w:szCs w:val="21"/>
        </w:rPr>
        <w:t xml:space="preserve">Signiﬁcant investment of time and effort by students over an extended </w:t>
      </w:r>
      <w:proofErr w:type="gramStart"/>
      <w:r w:rsidRPr="00484D27">
        <w:rPr>
          <w:rFonts w:cstheme="minorHAnsi"/>
          <w:b/>
          <w:sz w:val="21"/>
          <w:szCs w:val="21"/>
        </w:rPr>
        <w:t>period of time</w:t>
      </w:r>
      <w:proofErr w:type="gramEnd"/>
      <w:r w:rsidRPr="00484D27">
        <w:rPr>
          <w:rFonts w:cstheme="minorHAnsi"/>
          <w:b/>
          <w:sz w:val="21"/>
          <w:szCs w:val="21"/>
        </w:rPr>
        <w:t>.</w:t>
      </w:r>
      <w:r w:rsidRPr="00484D27">
        <w:rPr>
          <w:rFonts w:cstheme="minorHAnsi"/>
          <w:sz w:val="21"/>
          <w:szCs w:val="21"/>
        </w:rPr>
        <w:t xml:space="preserve"> Example: A multiple-part assignment or project on which a student works over the course of the term—beginning with a synopsis of the problem or issue to be examined and the methods or procedures that will be used; followed subsequently with narrative sections describing the ﬁndings and conclusions which culminate in a completed paper; concluding with demonstration or performance.</w:t>
      </w:r>
    </w:p>
    <w:p w:rsidR="00484D27" w:rsidRPr="00484D27" w:rsidRDefault="00484D27" w:rsidP="00484D27">
      <w:pPr>
        <w:rPr>
          <w:rFonts w:cstheme="minorHAnsi"/>
          <w:sz w:val="21"/>
          <w:szCs w:val="21"/>
        </w:rPr>
      </w:pPr>
      <w:r w:rsidRPr="00484D27">
        <w:rPr>
          <w:rFonts w:cstheme="minorHAnsi"/>
          <w:b/>
          <w:sz w:val="21"/>
          <w:szCs w:val="21"/>
        </w:rPr>
        <w:t>Interactions with faculty and peers about substantive matters.</w:t>
      </w:r>
      <w:r w:rsidRPr="00484D27">
        <w:rPr>
          <w:rFonts w:cstheme="minorHAnsi"/>
          <w:sz w:val="21"/>
          <w:szCs w:val="21"/>
        </w:rPr>
        <w:t xml:space="preserve"> Example: Out-of-class activities in which learning community students come together 5-6 times over the term to attend an enrichment event—such as a lecture by a visiting speaker and/or a discussion of common readings and assignments facilitated by an upper-division peer mentor.</w:t>
      </w:r>
    </w:p>
    <w:p w:rsidR="00484D27" w:rsidRPr="00484D27" w:rsidRDefault="00484D27" w:rsidP="00484D27">
      <w:pPr>
        <w:rPr>
          <w:rFonts w:cstheme="minorHAnsi"/>
          <w:sz w:val="21"/>
          <w:szCs w:val="21"/>
        </w:rPr>
      </w:pPr>
      <w:r w:rsidRPr="00484D27">
        <w:rPr>
          <w:rFonts w:cstheme="minorHAnsi"/>
          <w:b/>
          <w:sz w:val="21"/>
          <w:szCs w:val="21"/>
        </w:rPr>
        <w:t>Experiences with diversity</w:t>
      </w:r>
      <w:r w:rsidRPr="00484D27">
        <w:rPr>
          <w:rFonts w:cstheme="minorHAnsi"/>
          <w:sz w:val="21"/>
          <w:szCs w:val="21"/>
        </w:rPr>
        <w:t xml:space="preserve">, wherein students are exposed </w:t>
      </w:r>
      <w:proofErr w:type="gramStart"/>
      <w:r w:rsidRPr="00484D27">
        <w:rPr>
          <w:rFonts w:cstheme="minorHAnsi"/>
          <w:sz w:val="21"/>
          <w:szCs w:val="21"/>
        </w:rPr>
        <w:t>to and must contend with people</w:t>
      </w:r>
      <w:proofErr w:type="gramEnd"/>
      <w:r w:rsidRPr="00484D27">
        <w:rPr>
          <w:rFonts w:cstheme="minorHAnsi"/>
          <w:sz w:val="21"/>
          <w:szCs w:val="21"/>
        </w:rPr>
        <w:t xml:space="preserve"> and circumstances that differ from those with which students are familiar.  Example: A service-learning ﬁeld assignment wherein students work in a setting populated by people from different backgrounds and demographics, such as an assisted living facility or shelter for abused </w:t>
      </w:r>
      <w:r w:rsidRPr="00484D27">
        <w:rPr>
          <w:rFonts w:cstheme="minorHAnsi"/>
          <w:sz w:val="21"/>
          <w:szCs w:val="21"/>
        </w:rPr>
        <w:lastRenderedPageBreak/>
        <w:t>children, which is coupled with residence hall or class discussions and journaling about the connections between readings and the ﬁeld assignment experience.</w:t>
      </w:r>
    </w:p>
    <w:p w:rsidR="00484D27" w:rsidRPr="00484D27" w:rsidRDefault="00484D27" w:rsidP="00484D27">
      <w:pPr>
        <w:rPr>
          <w:rFonts w:cstheme="minorHAnsi"/>
          <w:sz w:val="21"/>
          <w:szCs w:val="21"/>
        </w:rPr>
      </w:pPr>
      <w:r w:rsidRPr="00484D27">
        <w:rPr>
          <w:rFonts w:cstheme="minorHAnsi"/>
          <w:b/>
          <w:sz w:val="21"/>
          <w:szCs w:val="21"/>
        </w:rPr>
        <w:t>Frequent, timely, and constructive feedback.</w:t>
      </w:r>
      <w:r w:rsidRPr="00484D27">
        <w:rPr>
          <w:rFonts w:cstheme="minorHAnsi"/>
          <w:sz w:val="21"/>
          <w:szCs w:val="21"/>
        </w:rPr>
        <w:t xml:space="preserve"> Example: A group learning community project during which students meet with and receive suggestions from faculty (or staff) member at various points to discuss progress, next steps, and problems encountered and to review the quality of students’ contributions up to and through the completion of the project. </w:t>
      </w:r>
    </w:p>
    <w:p w:rsidR="00484D27" w:rsidRPr="00484D27" w:rsidRDefault="00484D27" w:rsidP="00484D27">
      <w:pPr>
        <w:rPr>
          <w:rFonts w:cstheme="minorHAnsi"/>
          <w:sz w:val="21"/>
          <w:szCs w:val="21"/>
        </w:rPr>
      </w:pPr>
      <w:r w:rsidRPr="00484D27">
        <w:rPr>
          <w:rFonts w:cstheme="minorHAnsi"/>
          <w:b/>
          <w:sz w:val="21"/>
          <w:szCs w:val="21"/>
        </w:rPr>
        <w:t>Periodic, structured opportunities to reﬂect and integrate learning.</w:t>
      </w:r>
      <w:r w:rsidRPr="00484D27">
        <w:rPr>
          <w:rFonts w:cstheme="minorHAnsi"/>
          <w:sz w:val="21"/>
          <w:szCs w:val="21"/>
        </w:rPr>
        <w:t xml:space="preserve"> Example: Linked courses in a learning community wherein an instructor of </w:t>
      </w:r>
      <w:proofErr w:type="gramStart"/>
      <w:r w:rsidRPr="00484D27">
        <w:rPr>
          <w:rFonts w:cstheme="minorHAnsi"/>
          <w:sz w:val="21"/>
          <w:szCs w:val="21"/>
        </w:rPr>
        <w:t>one course</w:t>
      </w:r>
      <w:proofErr w:type="gramEnd"/>
      <w:r w:rsidRPr="00484D27">
        <w:rPr>
          <w:rFonts w:cstheme="minorHAnsi"/>
          <w:sz w:val="21"/>
          <w:szCs w:val="21"/>
        </w:rPr>
        <w:t xml:space="preserve"> designs assignments that require students to draw on material covered in the other linked courses, supplemented by a peer mentor who coordinates student involvement and discussion at relevant campus events. </w:t>
      </w:r>
    </w:p>
    <w:p w:rsidR="00484D27" w:rsidRPr="00484D27" w:rsidRDefault="00484D27" w:rsidP="00484D27">
      <w:pPr>
        <w:rPr>
          <w:rFonts w:cstheme="minorHAnsi"/>
          <w:sz w:val="21"/>
          <w:szCs w:val="21"/>
        </w:rPr>
      </w:pPr>
      <w:r w:rsidRPr="00484D27">
        <w:rPr>
          <w:rFonts w:cstheme="minorHAnsi"/>
          <w:b/>
          <w:sz w:val="21"/>
          <w:szCs w:val="21"/>
        </w:rPr>
        <w:t>Opportunities to discover relevance of learning through real-world applications</w:t>
      </w:r>
      <w:r w:rsidRPr="00484D27">
        <w:rPr>
          <w:rFonts w:cstheme="minorHAnsi"/>
          <w:sz w:val="21"/>
          <w:szCs w:val="21"/>
        </w:rPr>
        <w:t xml:space="preserve"> Example: A themed learning community (poverty, environmental issues, urban art, social movements) that requires students apply knowledge and skills acquired in the LC to reﬂect on and see the connections between their studies and experiences in particular real world settings. </w:t>
      </w:r>
    </w:p>
    <w:p w:rsidR="00484D27" w:rsidRDefault="00484D27" w:rsidP="00484D27">
      <w:pPr>
        <w:rPr>
          <w:rFonts w:cstheme="minorHAnsi"/>
          <w:sz w:val="21"/>
          <w:szCs w:val="21"/>
        </w:rPr>
      </w:pPr>
      <w:r w:rsidRPr="00484D27">
        <w:rPr>
          <w:rFonts w:cstheme="minorHAnsi"/>
          <w:b/>
          <w:sz w:val="21"/>
          <w:szCs w:val="21"/>
        </w:rPr>
        <w:t>Public demonstration of competence.</w:t>
      </w:r>
      <w:r w:rsidRPr="00484D27">
        <w:rPr>
          <w:rFonts w:cstheme="minorHAnsi"/>
          <w:sz w:val="21"/>
          <w:szCs w:val="21"/>
        </w:rPr>
        <w:t xml:space="preserve"> Example: An oral presentation to classmates that </w:t>
      </w:r>
      <w:proofErr w:type="gramStart"/>
      <w:r w:rsidRPr="00484D27">
        <w:rPr>
          <w:rFonts w:cstheme="minorHAnsi"/>
          <w:sz w:val="21"/>
          <w:szCs w:val="21"/>
        </w:rPr>
        <w:t>is evaluated</w:t>
      </w:r>
      <w:proofErr w:type="gramEnd"/>
      <w:r w:rsidRPr="00484D27">
        <w:rPr>
          <w:rFonts w:cstheme="minorHAnsi"/>
          <w:sz w:val="21"/>
          <w:szCs w:val="21"/>
        </w:rPr>
        <w:t xml:space="preserve"> by a faculty member and/or an accomplished practitioner, or staff member.</w:t>
      </w:r>
    </w:p>
    <w:p w:rsidR="00FF42D3" w:rsidRPr="00484D27" w:rsidRDefault="00FF42D3" w:rsidP="00484D27">
      <w:pPr>
        <w:rPr>
          <w:rFonts w:cstheme="minorHAnsi"/>
          <w:sz w:val="21"/>
          <w:szCs w:val="21"/>
        </w:rPr>
      </w:pPr>
    </w:p>
    <w:p w:rsidR="00F91390" w:rsidRDefault="00F91390" w:rsidP="00484D27">
      <w:pPr>
        <w:rPr>
          <w:rFonts w:ascii="Times New Roman" w:hAnsi="Times New Roman" w:cs="Times New Roman"/>
          <w:b/>
          <w:sz w:val="28"/>
          <w:szCs w:val="20"/>
        </w:rPr>
      </w:pPr>
      <w:r w:rsidRPr="00823DE7">
        <w:rPr>
          <w:rFonts w:ascii="Times New Roman" w:hAnsi="Times New Roman" w:cs="Times New Roman"/>
          <w:b/>
          <w:sz w:val="28"/>
          <w:szCs w:val="20"/>
        </w:rPr>
        <w:t>HIP Matrix: Designing High Quality Learning Communities with HIP Hallmarks in Mind</w:t>
      </w:r>
    </w:p>
    <w:p w:rsidR="00484D27" w:rsidRPr="00484D27" w:rsidRDefault="00484D27" w:rsidP="00484D27">
      <w:pPr>
        <w:rPr>
          <w:rFonts w:ascii="Times New Roman" w:hAnsi="Times New Roman" w:cs="Times New Roman"/>
          <w:b/>
          <w:sz w:val="21"/>
          <w:szCs w:val="21"/>
        </w:rPr>
      </w:pPr>
      <w:r>
        <w:rPr>
          <w:rFonts w:ascii="Times New Roman" w:hAnsi="Times New Roman" w:cs="Times New Roman"/>
          <w:b/>
          <w:szCs w:val="21"/>
        </w:rPr>
        <w:t>How much</w:t>
      </w:r>
      <w:r w:rsidRPr="00C228FC">
        <w:rPr>
          <w:rFonts w:ascii="Times New Roman" w:hAnsi="Times New Roman" w:cs="Times New Roman"/>
          <w:b/>
          <w:szCs w:val="21"/>
        </w:rPr>
        <w:t xml:space="preserve"> are these hallmarks emphasized in your LCs?</w:t>
      </w:r>
      <w:r>
        <w:rPr>
          <w:rFonts w:ascii="Times New Roman" w:hAnsi="Times New Roman" w:cs="Times New Roman"/>
          <w:b/>
          <w:sz w:val="21"/>
          <w:szCs w:val="21"/>
        </w:rPr>
        <w:t xml:space="preserve">  X = limited/no emphasis</w:t>
      </w:r>
      <w:proofErr w:type="gramStart"/>
      <w:r>
        <w:rPr>
          <w:rFonts w:ascii="Times New Roman" w:hAnsi="Times New Roman" w:cs="Times New Roman"/>
          <w:b/>
          <w:sz w:val="21"/>
          <w:szCs w:val="21"/>
        </w:rPr>
        <w:t xml:space="preserve">,  </w:t>
      </w:r>
      <w:r w:rsidRPr="00484D27">
        <w:rPr>
          <w:rFonts w:ascii="Times New Roman" w:hAnsi="Times New Roman" w:cs="Times New Roman"/>
          <w:b/>
          <w:sz w:val="24"/>
          <w:szCs w:val="21"/>
        </w:rPr>
        <w:t>+</w:t>
      </w:r>
      <w:proofErr w:type="gramEnd"/>
      <w:r w:rsidRPr="00484D27">
        <w:rPr>
          <w:rFonts w:ascii="Times New Roman" w:hAnsi="Times New Roman" w:cs="Times New Roman"/>
          <w:b/>
          <w:sz w:val="24"/>
          <w:szCs w:val="21"/>
        </w:rPr>
        <w:t xml:space="preserve"> </w:t>
      </w:r>
      <w:r>
        <w:rPr>
          <w:rFonts w:ascii="Times New Roman" w:hAnsi="Times New Roman" w:cs="Times New Roman"/>
          <w:b/>
          <w:sz w:val="21"/>
          <w:szCs w:val="21"/>
        </w:rPr>
        <w:t>= strong emphasis;  ?= not sure</w:t>
      </w:r>
    </w:p>
    <w:tbl>
      <w:tblPr>
        <w:tblStyle w:val="TableGrid"/>
        <w:tblW w:w="10800" w:type="dxa"/>
        <w:jc w:val="center"/>
        <w:tblLayout w:type="fixed"/>
        <w:tblLook w:val="04A0" w:firstRow="1" w:lastRow="0" w:firstColumn="1" w:lastColumn="0" w:noHBand="0" w:noVBand="1"/>
      </w:tblPr>
      <w:tblGrid>
        <w:gridCol w:w="1165"/>
        <w:gridCol w:w="1260"/>
        <w:gridCol w:w="990"/>
        <w:gridCol w:w="1370"/>
        <w:gridCol w:w="1080"/>
        <w:gridCol w:w="1080"/>
        <w:gridCol w:w="1267"/>
        <w:gridCol w:w="1233"/>
        <w:gridCol w:w="1355"/>
      </w:tblGrid>
      <w:tr w:rsidR="00823DE7" w:rsidRPr="00B7641D" w:rsidTr="00A02026">
        <w:trPr>
          <w:trHeight w:val="107"/>
          <w:jc w:val="center"/>
        </w:trPr>
        <w:tc>
          <w:tcPr>
            <w:tcW w:w="1165" w:type="dxa"/>
            <w:tcBorders>
              <w:top w:val="single" w:sz="4" w:space="0" w:color="auto"/>
            </w:tcBorders>
          </w:tcPr>
          <w:p w:rsidR="00823DE7" w:rsidRPr="00DD2117" w:rsidRDefault="00823DE7" w:rsidP="00CA2DE6">
            <w:pPr>
              <w:rPr>
                <w:rFonts w:ascii="Times New Roman" w:hAnsi="Times New Roman" w:cs="Times New Roman"/>
                <w:b/>
                <w:sz w:val="18"/>
                <w:szCs w:val="18"/>
              </w:rPr>
            </w:pPr>
          </w:p>
        </w:tc>
        <w:tc>
          <w:tcPr>
            <w:tcW w:w="9635" w:type="dxa"/>
            <w:gridSpan w:val="8"/>
            <w:tcBorders>
              <w:top w:val="single" w:sz="4" w:space="0" w:color="auto"/>
            </w:tcBorders>
            <w:shd w:val="clear" w:color="auto" w:fill="FFE599" w:themeFill="accent4" w:themeFillTint="66"/>
          </w:tcPr>
          <w:p w:rsidR="00823DE7" w:rsidRPr="00DD2117" w:rsidRDefault="00823DE7" w:rsidP="00DD2117">
            <w:pPr>
              <w:jc w:val="center"/>
              <w:rPr>
                <w:rFonts w:ascii="Times New Roman" w:hAnsi="Times New Roman" w:cs="Times New Roman"/>
                <w:b/>
                <w:sz w:val="18"/>
                <w:szCs w:val="18"/>
              </w:rPr>
            </w:pPr>
            <w:r w:rsidRPr="00DD2117">
              <w:rPr>
                <w:rFonts w:ascii="Times New Roman" w:hAnsi="Times New Roman" w:cs="Times New Roman"/>
                <w:b/>
                <w:sz w:val="18"/>
                <w:szCs w:val="18"/>
              </w:rPr>
              <w:t>High-Impact Practices Hallmarks</w:t>
            </w:r>
          </w:p>
        </w:tc>
      </w:tr>
      <w:tr w:rsidR="00A40863" w:rsidRPr="00B7641D" w:rsidTr="00A02026">
        <w:trPr>
          <w:trHeight w:val="547"/>
          <w:jc w:val="center"/>
        </w:trPr>
        <w:tc>
          <w:tcPr>
            <w:tcW w:w="1165" w:type="dxa"/>
            <w:tcBorders>
              <w:top w:val="single" w:sz="4" w:space="0" w:color="auto"/>
            </w:tcBorders>
            <w:shd w:val="clear" w:color="auto" w:fill="990033"/>
          </w:tcPr>
          <w:p w:rsidR="00823DE7" w:rsidRDefault="00823DE7" w:rsidP="00D370DC">
            <w:pPr>
              <w:rPr>
                <w:rFonts w:ascii="Times New Roman" w:hAnsi="Times New Roman" w:cs="Times New Roman"/>
                <w:b/>
                <w:sz w:val="32"/>
                <w:szCs w:val="18"/>
              </w:rPr>
            </w:pPr>
          </w:p>
          <w:p w:rsidR="00823DE7" w:rsidRPr="00A40863" w:rsidRDefault="00823DE7" w:rsidP="00D370DC">
            <w:pPr>
              <w:rPr>
                <w:rFonts w:ascii="Times New Roman" w:hAnsi="Times New Roman" w:cs="Times New Roman"/>
                <w:b/>
                <w:szCs w:val="18"/>
              </w:rPr>
            </w:pPr>
            <w:r w:rsidRPr="00A40863">
              <w:rPr>
                <w:rFonts w:ascii="Times New Roman" w:hAnsi="Times New Roman" w:cs="Times New Roman"/>
                <w:b/>
                <w:szCs w:val="18"/>
              </w:rPr>
              <w:t>AAC&amp;U</w:t>
            </w:r>
          </w:p>
          <w:p w:rsidR="001A7F2A" w:rsidRPr="00DD2117" w:rsidRDefault="001A7F2A" w:rsidP="00D370DC">
            <w:pPr>
              <w:rPr>
                <w:rFonts w:ascii="Times New Roman" w:hAnsi="Times New Roman" w:cs="Times New Roman"/>
                <w:b/>
                <w:sz w:val="18"/>
                <w:szCs w:val="18"/>
              </w:rPr>
            </w:pPr>
            <w:r w:rsidRPr="00A40863">
              <w:rPr>
                <w:rFonts w:ascii="Times New Roman" w:hAnsi="Times New Roman" w:cs="Times New Roman"/>
                <w:b/>
                <w:sz w:val="18"/>
                <w:szCs w:val="18"/>
              </w:rPr>
              <w:t>Hallmarks</w:t>
            </w:r>
          </w:p>
        </w:tc>
        <w:tc>
          <w:tcPr>
            <w:tcW w:w="1260" w:type="dxa"/>
            <w:shd w:val="clear" w:color="auto" w:fill="990033"/>
          </w:tcPr>
          <w:p w:rsidR="00823DE7" w:rsidRPr="00DD2117" w:rsidRDefault="00823DE7" w:rsidP="00025894">
            <w:pPr>
              <w:jc w:val="center"/>
              <w:rPr>
                <w:rFonts w:ascii="Times New Roman" w:hAnsi="Times New Roman" w:cs="Times New Roman"/>
                <w:b/>
                <w:sz w:val="18"/>
                <w:szCs w:val="18"/>
              </w:rPr>
            </w:pPr>
            <w:r w:rsidRPr="00DD2117">
              <w:rPr>
                <w:rFonts w:ascii="Times New Roman" w:hAnsi="Times New Roman" w:cs="Times New Roman"/>
                <w:b/>
                <w:sz w:val="18"/>
                <w:szCs w:val="18"/>
              </w:rPr>
              <w:t>High expectations for performance</w:t>
            </w:r>
          </w:p>
        </w:tc>
        <w:tc>
          <w:tcPr>
            <w:tcW w:w="990" w:type="dxa"/>
            <w:shd w:val="clear" w:color="auto" w:fill="990033"/>
          </w:tcPr>
          <w:p w:rsidR="00823DE7" w:rsidRPr="00DD2117" w:rsidRDefault="00823DE7" w:rsidP="00025894">
            <w:pPr>
              <w:jc w:val="center"/>
              <w:rPr>
                <w:rFonts w:ascii="Times New Roman" w:hAnsi="Times New Roman" w:cs="Times New Roman"/>
                <w:b/>
                <w:sz w:val="18"/>
                <w:szCs w:val="18"/>
              </w:rPr>
            </w:pPr>
            <w:r w:rsidRPr="00DD2117">
              <w:rPr>
                <w:rFonts w:ascii="Times New Roman" w:hAnsi="Times New Roman" w:cs="Times New Roman"/>
                <w:b/>
                <w:sz w:val="18"/>
                <w:szCs w:val="18"/>
              </w:rPr>
              <w:t>Demand time &amp; effort</w:t>
            </w:r>
          </w:p>
        </w:tc>
        <w:tc>
          <w:tcPr>
            <w:tcW w:w="1370" w:type="dxa"/>
            <w:shd w:val="clear" w:color="auto" w:fill="990033"/>
          </w:tcPr>
          <w:p w:rsidR="00823DE7" w:rsidRPr="00DD2117" w:rsidRDefault="00823DE7" w:rsidP="00025894">
            <w:pPr>
              <w:jc w:val="center"/>
              <w:rPr>
                <w:rFonts w:ascii="Times New Roman" w:hAnsi="Times New Roman" w:cs="Times New Roman"/>
                <w:b/>
                <w:sz w:val="18"/>
                <w:szCs w:val="18"/>
              </w:rPr>
            </w:pPr>
            <w:r w:rsidRPr="00DD2117">
              <w:rPr>
                <w:rFonts w:ascii="Times New Roman" w:hAnsi="Times New Roman" w:cs="Times New Roman"/>
                <w:b/>
                <w:sz w:val="18"/>
                <w:szCs w:val="18"/>
              </w:rPr>
              <w:t>Substantive interaction w/faculty &amp; peers</w:t>
            </w:r>
          </w:p>
        </w:tc>
        <w:tc>
          <w:tcPr>
            <w:tcW w:w="1080" w:type="dxa"/>
            <w:shd w:val="clear" w:color="auto" w:fill="990033"/>
          </w:tcPr>
          <w:p w:rsidR="00823DE7" w:rsidRPr="00DD2117" w:rsidRDefault="00823DE7" w:rsidP="00025894">
            <w:pPr>
              <w:jc w:val="center"/>
              <w:rPr>
                <w:rFonts w:ascii="Times New Roman" w:hAnsi="Times New Roman" w:cs="Times New Roman"/>
                <w:b/>
                <w:sz w:val="18"/>
                <w:szCs w:val="18"/>
              </w:rPr>
            </w:pPr>
            <w:r w:rsidRPr="00DD2117">
              <w:rPr>
                <w:rFonts w:ascii="Times New Roman" w:hAnsi="Times New Roman" w:cs="Times New Roman"/>
                <w:b/>
                <w:sz w:val="18"/>
                <w:szCs w:val="18"/>
              </w:rPr>
              <w:t>They help students engage across differences</w:t>
            </w:r>
          </w:p>
        </w:tc>
        <w:tc>
          <w:tcPr>
            <w:tcW w:w="1080" w:type="dxa"/>
            <w:shd w:val="clear" w:color="auto" w:fill="990033"/>
          </w:tcPr>
          <w:p w:rsidR="00823DE7" w:rsidRPr="00DD2117" w:rsidRDefault="00823DE7" w:rsidP="00025894">
            <w:pPr>
              <w:jc w:val="center"/>
              <w:rPr>
                <w:rFonts w:ascii="Times New Roman" w:hAnsi="Times New Roman" w:cs="Times New Roman"/>
                <w:b/>
                <w:sz w:val="18"/>
                <w:szCs w:val="18"/>
              </w:rPr>
            </w:pPr>
            <w:r w:rsidRPr="00DD2117">
              <w:rPr>
                <w:rFonts w:ascii="Times New Roman" w:hAnsi="Times New Roman" w:cs="Times New Roman"/>
                <w:b/>
                <w:sz w:val="18"/>
                <w:szCs w:val="18"/>
              </w:rPr>
              <w:t>They provide students with rich feedback</w:t>
            </w:r>
          </w:p>
        </w:tc>
        <w:tc>
          <w:tcPr>
            <w:tcW w:w="1267" w:type="dxa"/>
            <w:shd w:val="clear" w:color="auto" w:fill="990033"/>
          </w:tcPr>
          <w:p w:rsidR="00823DE7" w:rsidRPr="00DD2117" w:rsidRDefault="00823DE7" w:rsidP="00025894">
            <w:pPr>
              <w:jc w:val="center"/>
              <w:rPr>
                <w:rFonts w:ascii="Times New Roman" w:hAnsi="Times New Roman" w:cs="Times New Roman"/>
                <w:b/>
                <w:sz w:val="18"/>
                <w:szCs w:val="18"/>
              </w:rPr>
            </w:pPr>
            <w:r>
              <w:rPr>
                <w:rFonts w:ascii="Times New Roman" w:hAnsi="Times New Roman" w:cs="Times New Roman"/>
                <w:b/>
                <w:sz w:val="18"/>
                <w:szCs w:val="18"/>
              </w:rPr>
              <w:t xml:space="preserve">Structured </w:t>
            </w:r>
            <w:proofErr w:type="spellStart"/>
            <w:r>
              <w:rPr>
                <w:rFonts w:ascii="Times New Roman" w:hAnsi="Times New Roman" w:cs="Times New Roman"/>
                <w:b/>
                <w:sz w:val="18"/>
                <w:szCs w:val="18"/>
              </w:rPr>
              <w:t>opps</w:t>
            </w:r>
            <w:proofErr w:type="spellEnd"/>
            <w:r>
              <w:rPr>
                <w:rFonts w:ascii="Times New Roman" w:hAnsi="Times New Roman" w:cs="Times New Roman"/>
                <w:b/>
                <w:sz w:val="18"/>
                <w:szCs w:val="18"/>
              </w:rPr>
              <w:t>.</w:t>
            </w:r>
            <w:r w:rsidRPr="00DD2117">
              <w:rPr>
                <w:rFonts w:ascii="Times New Roman" w:hAnsi="Times New Roman" w:cs="Times New Roman"/>
                <w:b/>
                <w:sz w:val="18"/>
                <w:szCs w:val="18"/>
              </w:rPr>
              <w:t xml:space="preserve"> to reflect &amp; integrate (who students are becoming)</w:t>
            </w:r>
          </w:p>
        </w:tc>
        <w:tc>
          <w:tcPr>
            <w:tcW w:w="1233" w:type="dxa"/>
            <w:shd w:val="clear" w:color="auto" w:fill="990033"/>
          </w:tcPr>
          <w:p w:rsidR="00823DE7" w:rsidRPr="00DD2117" w:rsidRDefault="00823DE7" w:rsidP="00025894">
            <w:pPr>
              <w:jc w:val="center"/>
              <w:rPr>
                <w:rFonts w:ascii="Times New Roman" w:hAnsi="Times New Roman" w:cs="Times New Roman"/>
                <w:b/>
                <w:sz w:val="18"/>
                <w:szCs w:val="18"/>
              </w:rPr>
            </w:pPr>
            <w:r w:rsidRPr="00DD2117">
              <w:rPr>
                <w:rFonts w:ascii="Times New Roman" w:hAnsi="Times New Roman" w:cs="Times New Roman"/>
                <w:b/>
                <w:sz w:val="18"/>
                <w:szCs w:val="18"/>
              </w:rPr>
              <w:t>Opportunity to apply &amp; test learning in new situations</w:t>
            </w:r>
          </w:p>
        </w:tc>
        <w:tc>
          <w:tcPr>
            <w:tcW w:w="1355" w:type="dxa"/>
            <w:shd w:val="clear" w:color="auto" w:fill="990033"/>
          </w:tcPr>
          <w:p w:rsidR="00823DE7" w:rsidRPr="00DD2117" w:rsidRDefault="00823DE7" w:rsidP="00025894">
            <w:pPr>
              <w:jc w:val="center"/>
              <w:rPr>
                <w:rFonts w:ascii="Times New Roman" w:hAnsi="Times New Roman" w:cs="Times New Roman"/>
                <w:b/>
                <w:sz w:val="18"/>
                <w:szCs w:val="18"/>
              </w:rPr>
            </w:pPr>
            <w:r w:rsidRPr="00DD2117">
              <w:rPr>
                <w:rFonts w:ascii="Times New Roman" w:hAnsi="Times New Roman" w:cs="Times New Roman"/>
                <w:b/>
                <w:sz w:val="18"/>
                <w:szCs w:val="18"/>
              </w:rPr>
              <w:t>Public demonstration of competence</w:t>
            </w:r>
          </w:p>
        </w:tc>
      </w:tr>
      <w:tr w:rsidR="00A40863" w:rsidRPr="00B7641D" w:rsidTr="007719EC">
        <w:trPr>
          <w:trHeight w:val="962"/>
          <w:jc w:val="center"/>
        </w:trPr>
        <w:tc>
          <w:tcPr>
            <w:tcW w:w="1165" w:type="dxa"/>
            <w:shd w:val="clear" w:color="auto" w:fill="E7E6E6" w:themeFill="background2"/>
          </w:tcPr>
          <w:p w:rsidR="00823DE7" w:rsidRDefault="00823DE7" w:rsidP="00D370DC">
            <w:pPr>
              <w:rPr>
                <w:rFonts w:ascii="Times New Roman" w:hAnsi="Times New Roman" w:cs="Times New Roman"/>
                <w:b/>
                <w:sz w:val="18"/>
                <w:szCs w:val="18"/>
              </w:rPr>
            </w:pPr>
          </w:p>
          <w:p w:rsidR="00823DE7" w:rsidRPr="00DD2117" w:rsidRDefault="00A02026" w:rsidP="00D370DC">
            <w:pPr>
              <w:rPr>
                <w:rFonts w:ascii="Times New Roman" w:hAnsi="Times New Roman" w:cs="Times New Roman"/>
                <w:b/>
                <w:sz w:val="18"/>
                <w:szCs w:val="18"/>
              </w:rPr>
            </w:pPr>
            <w:r>
              <w:rPr>
                <w:rFonts w:ascii="Times New Roman" w:hAnsi="Times New Roman" w:cs="Times New Roman"/>
                <w:b/>
                <w:sz w:val="18"/>
                <w:szCs w:val="18"/>
              </w:rPr>
              <w:t>Learning Community</w:t>
            </w:r>
          </w:p>
        </w:tc>
        <w:tc>
          <w:tcPr>
            <w:tcW w:w="1260" w:type="dxa"/>
            <w:shd w:val="clear" w:color="auto" w:fill="E7E6E6" w:themeFill="background2"/>
          </w:tcPr>
          <w:p w:rsidR="00823DE7" w:rsidRPr="00DD2117" w:rsidRDefault="00823DE7" w:rsidP="00D370DC">
            <w:pPr>
              <w:rPr>
                <w:rFonts w:ascii="Times New Roman" w:hAnsi="Times New Roman" w:cs="Times New Roman"/>
                <w:sz w:val="18"/>
                <w:szCs w:val="18"/>
              </w:rPr>
            </w:pPr>
          </w:p>
        </w:tc>
        <w:tc>
          <w:tcPr>
            <w:tcW w:w="990" w:type="dxa"/>
            <w:shd w:val="clear" w:color="auto" w:fill="E7E6E6" w:themeFill="background2"/>
          </w:tcPr>
          <w:p w:rsidR="00823DE7" w:rsidRPr="00DD2117" w:rsidRDefault="00823DE7" w:rsidP="00D370DC">
            <w:pPr>
              <w:rPr>
                <w:rFonts w:ascii="Times New Roman" w:hAnsi="Times New Roman" w:cs="Times New Roman"/>
                <w:sz w:val="18"/>
                <w:szCs w:val="18"/>
              </w:rPr>
            </w:pPr>
          </w:p>
        </w:tc>
        <w:tc>
          <w:tcPr>
            <w:tcW w:w="1370" w:type="dxa"/>
            <w:shd w:val="clear" w:color="auto" w:fill="E7E6E6" w:themeFill="background2"/>
          </w:tcPr>
          <w:p w:rsidR="00823DE7" w:rsidRPr="00DD2117" w:rsidRDefault="00823DE7" w:rsidP="00D370DC">
            <w:pPr>
              <w:rPr>
                <w:rFonts w:ascii="Times New Roman" w:hAnsi="Times New Roman" w:cs="Times New Roman"/>
                <w:sz w:val="18"/>
                <w:szCs w:val="18"/>
              </w:rPr>
            </w:pPr>
          </w:p>
        </w:tc>
        <w:tc>
          <w:tcPr>
            <w:tcW w:w="1080" w:type="dxa"/>
            <w:shd w:val="clear" w:color="auto" w:fill="E7E6E6" w:themeFill="background2"/>
          </w:tcPr>
          <w:p w:rsidR="00823DE7" w:rsidRPr="00DD2117" w:rsidRDefault="00823DE7" w:rsidP="00D370DC">
            <w:pPr>
              <w:rPr>
                <w:rFonts w:ascii="Times New Roman" w:hAnsi="Times New Roman" w:cs="Times New Roman"/>
                <w:sz w:val="18"/>
                <w:szCs w:val="18"/>
              </w:rPr>
            </w:pPr>
          </w:p>
        </w:tc>
        <w:tc>
          <w:tcPr>
            <w:tcW w:w="1080" w:type="dxa"/>
            <w:shd w:val="clear" w:color="auto" w:fill="E7E6E6" w:themeFill="background2"/>
          </w:tcPr>
          <w:p w:rsidR="00823DE7" w:rsidRPr="00DD2117" w:rsidRDefault="00823DE7" w:rsidP="00D370DC">
            <w:pPr>
              <w:rPr>
                <w:rFonts w:ascii="Times New Roman" w:hAnsi="Times New Roman" w:cs="Times New Roman"/>
                <w:sz w:val="18"/>
                <w:szCs w:val="18"/>
              </w:rPr>
            </w:pPr>
          </w:p>
        </w:tc>
        <w:tc>
          <w:tcPr>
            <w:tcW w:w="1267" w:type="dxa"/>
            <w:shd w:val="clear" w:color="auto" w:fill="E7E6E6" w:themeFill="background2"/>
          </w:tcPr>
          <w:p w:rsidR="00823DE7" w:rsidRPr="00DD2117" w:rsidRDefault="00823DE7" w:rsidP="00D370DC">
            <w:pPr>
              <w:rPr>
                <w:rFonts w:ascii="Times New Roman" w:hAnsi="Times New Roman" w:cs="Times New Roman"/>
                <w:sz w:val="18"/>
                <w:szCs w:val="18"/>
              </w:rPr>
            </w:pPr>
          </w:p>
        </w:tc>
        <w:tc>
          <w:tcPr>
            <w:tcW w:w="1233" w:type="dxa"/>
            <w:shd w:val="clear" w:color="auto" w:fill="E7E6E6" w:themeFill="background2"/>
          </w:tcPr>
          <w:p w:rsidR="00823DE7" w:rsidRPr="00DD2117" w:rsidRDefault="00823DE7" w:rsidP="00D370DC">
            <w:pPr>
              <w:rPr>
                <w:rFonts w:ascii="Times New Roman" w:hAnsi="Times New Roman" w:cs="Times New Roman"/>
                <w:sz w:val="18"/>
                <w:szCs w:val="18"/>
              </w:rPr>
            </w:pPr>
          </w:p>
        </w:tc>
        <w:tc>
          <w:tcPr>
            <w:tcW w:w="1355" w:type="dxa"/>
            <w:shd w:val="clear" w:color="auto" w:fill="E7E6E6" w:themeFill="background2"/>
          </w:tcPr>
          <w:p w:rsidR="00823DE7" w:rsidRPr="00DD2117" w:rsidRDefault="00823DE7" w:rsidP="00D370DC">
            <w:pPr>
              <w:rPr>
                <w:rFonts w:ascii="Times New Roman" w:hAnsi="Times New Roman" w:cs="Times New Roman"/>
                <w:sz w:val="18"/>
                <w:szCs w:val="18"/>
              </w:rPr>
            </w:pPr>
          </w:p>
        </w:tc>
      </w:tr>
    </w:tbl>
    <w:p w:rsidR="00C228FC" w:rsidRPr="00C228FC" w:rsidRDefault="00C228FC" w:rsidP="00823DE7">
      <w:pPr>
        <w:rPr>
          <w:rFonts w:ascii="Times New Roman" w:hAnsi="Times New Roman" w:cs="Times New Roman"/>
          <w:sz w:val="4"/>
          <w:szCs w:val="21"/>
        </w:rPr>
      </w:pPr>
      <w:r>
        <w:rPr>
          <w:rFonts w:ascii="Times New Roman" w:hAnsi="Times New Roman" w:cs="Times New Roman"/>
          <w:sz w:val="21"/>
          <w:szCs w:val="21"/>
        </w:rPr>
        <w:t xml:space="preserve"> </w:t>
      </w:r>
    </w:p>
    <w:p w:rsidR="0039451A" w:rsidRPr="0039451A" w:rsidRDefault="005A76C7" w:rsidP="00FB3AFD">
      <w:pPr>
        <w:numPr>
          <w:ilvl w:val="0"/>
          <w:numId w:val="27"/>
        </w:numPr>
        <w:rPr>
          <w:rFonts w:ascii="Times New Roman" w:hAnsi="Times New Roman" w:cs="Times New Roman"/>
          <w:i/>
          <w:sz w:val="21"/>
          <w:szCs w:val="21"/>
        </w:rPr>
      </w:pPr>
      <w:r w:rsidRPr="00C228FC">
        <w:rPr>
          <w:rFonts w:ascii="Times New Roman" w:hAnsi="Times New Roman" w:cs="Times New Roman"/>
          <w:b/>
          <w:bCs/>
          <w:i/>
          <w:sz w:val="24"/>
          <w:szCs w:val="21"/>
        </w:rPr>
        <w:t>What HIP hallmark</w:t>
      </w:r>
      <w:r w:rsidR="00FF42D3">
        <w:rPr>
          <w:rFonts w:ascii="Times New Roman" w:hAnsi="Times New Roman" w:cs="Times New Roman"/>
          <w:b/>
          <w:bCs/>
          <w:i/>
          <w:sz w:val="24"/>
          <w:szCs w:val="21"/>
        </w:rPr>
        <w:t>(s)</w:t>
      </w:r>
      <w:r w:rsidRPr="00C228FC">
        <w:rPr>
          <w:rFonts w:ascii="Times New Roman" w:hAnsi="Times New Roman" w:cs="Times New Roman"/>
          <w:b/>
          <w:bCs/>
          <w:i/>
          <w:sz w:val="24"/>
          <w:szCs w:val="21"/>
        </w:rPr>
        <w:t xml:space="preserve"> do</w:t>
      </w:r>
      <w:r w:rsidR="00FF42D3">
        <w:rPr>
          <w:rFonts w:ascii="Times New Roman" w:hAnsi="Times New Roman" w:cs="Times New Roman"/>
          <w:b/>
          <w:bCs/>
          <w:i/>
          <w:sz w:val="24"/>
          <w:szCs w:val="21"/>
        </w:rPr>
        <w:t xml:space="preserve"> your LCs </w:t>
      </w:r>
      <w:r w:rsidR="0039451A">
        <w:rPr>
          <w:rFonts w:ascii="Times New Roman" w:hAnsi="Times New Roman" w:cs="Times New Roman"/>
          <w:b/>
          <w:bCs/>
          <w:i/>
          <w:sz w:val="24"/>
          <w:szCs w:val="21"/>
        </w:rPr>
        <w:t>do well? Describe your practice.</w:t>
      </w:r>
    </w:p>
    <w:p w:rsidR="0039451A" w:rsidRDefault="0039451A" w:rsidP="0039451A">
      <w:pPr>
        <w:ind w:left="360"/>
        <w:rPr>
          <w:rFonts w:ascii="Times New Roman" w:hAnsi="Times New Roman" w:cs="Times New Roman"/>
          <w:i/>
          <w:sz w:val="21"/>
          <w:szCs w:val="21"/>
        </w:rPr>
      </w:pPr>
    </w:p>
    <w:p w:rsidR="0039451A" w:rsidRDefault="0039451A" w:rsidP="0039451A">
      <w:pPr>
        <w:ind w:left="360"/>
        <w:rPr>
          <w:rFonts w:ascii="Times New Roman" w:hAnsi="Times New Roman" w:cs="Times New Roman"/>
          <w:i/>
          <w:sz w:val="21"/>
          <w:szCs w:val="21"/>
        </w:rPr>
      </w:pPr>
    </w:p>
    <w:p w:rsidR="0039451A" w:rsidRDefault="0039451A" w:rsidP="0039451A">
      <w:pPr>
        <w:ind w:left="360"/>
        <w:rPr>
          <w:rFonts w:ascii="Times New Roman" w:hAnsi="Times New Roman" w:cs="Times New Roman"/>
          <w:i/>
          <w:sz w:val="21"/>
          <w:szCs w:val="21"/>
        </w:rPr>
      </w:pPr>
    </w:p>
    <w:p w:rsidR="0039451A" w:rsidRPr="0039451A" w:rsidRDefault="0039451A" w:rsidP="0039451A">
      <w:pPr>
        <w:ind w:left="360"/>
        <w:rPr>
          <w:rFonts w:ascii="Times New Roman" w:hAnsi="Times New Roman" w:cs="Times New Roman"/>
          <w:i/>
          <w:sz w:val="21"/>
          <w:szCs w:val="21"/>
        </w:rPr>
      </w:pPr>
    </w:p>
    <w:p w:rsidR="00FB3AFD" w:rsidRPr="00FB3AFD" w:rsidRDefault="0039451A" w:rsidP="00FB3AFD">
      <w:pPr>
        <w:numPr>
          <w:ilvl w:val="0"/>
          <w:numId w:val="27"/>
        </w:numPr>
        <w:rPr>
          <w:rFonts w:ascii="Times New Roman" w:hAnsi="Times New Roman" w:cs="Times New Roman"/>
          <w:i/>
          <w:sz w:val="21"/>
          <w:szCs w:val="21"/>
        </w:rPr>
      </w:pPr>
      <w:r>
        <w:rPr>
          <w:rFonts w:ascii="Times New Roman" w:hAnsi="Times New Roman" w:cs="Times New Roman"/>
          <w:b/>
          <w:bCs/>
          <w:i/>
          <w:sz w:val="24"/>
          <w:szCs w:val="21"/>
        </w:rPr>
        <w:t>What HIP hallmark</w:t>
      </w:r>
      <w:r w:rsidR="00FF42D3">
        <w:rPr>
          <w:rFonts w:ascii="Times New Roman" w:hAnsi="Times New Roman" w:cs="Times New Roman"/>
          <w:b/>
          <w:bCs/>
          <w:i/>
          <w:sz w:val="24"/>
          <w:szCs w:val="21"/>
        </w:rPr>
        <w:t>(s)</w:t>
      </w:r>
      <w:r>
        <w:rPr>
          <w:rFonts w:ascii="Times New Roman" w:hAnsi="Times New Roman" w:cs="Times New Roman"/>
          <w:b/>
          <w:bCs/>
          <w:i/>
          <w:sz w:val="24"/>
          <w:szCs w:val="21"/>
        </w:rPr>
        <w:t xml:space="preserve"> </w:t>
      </w:r>
      <w:r w:rsidR="00FF42D3">
        <w:rPr>
          <w:rFonts w:ascii="Times New Roman" w:hAnsi="Times New Roman" w:cs="Times New Roman"/>
          <w:b/>
          <w:bCs/>
          <w:i/>
          <w:sz w:val="24"/>
          <w:szCs w:val="21"/>
        </w:rPr>
        <w:t>would you like</w:t>
      </w:r>
      <w:r w:rsidR="005A76C7" w:rsidRPr="00C228FC">
        <w:rPr>
          <w:rFonts w:ascii="Times New Roman" w:hAnsi="Times New Roman" w:cs="Times New Roman"/>
          <w:b/>
          <w:bCs/>
          <w:i/>
          <w:sz w:val="24"/>
          <w:szCs w:val="21"/>
        </w:rPr>
        <w:t xml:space="preserve"> to emphasize</w:t>
      </w:r>
      <w:r w:rsidR="00FF42D3">
        <w:rPr>
          <w:rFonts w:ascii="Times New Roman" w:hAnsi="Times New Roman" w:cs="Times New Roman"/>
          <w:b/>
          <w:bCs/>
          <w:i/>
          <w:sz w:val="24"/>
          <w:szCs w:val="21"/>
        </w:rPr>
        <w:t xml:space="preserve"> in your LC</w:t>
      </w:r>
      <w:r w:rsidR="005A76C7" w:rsidRPr="00C228FC">
        <w:rPr>
          <w:rFonts w:ascii="Times New Roman" w:hAnsi="Times New Roman" w:cs="Times New Roman"/>
          <w:b/>
          <w:bCs/>
          <w:i/>
          <w:sz w:val="24"/>
          <w:szCs w:val="21"/>
        </w:rPr>
        <w:t>?</w:t>
      </w:r>
      <w:r w:rsidR="007719EC">
        <w:rPr>
          <w:rFonts w:ascii="Times New Roman" w:hAnsi="Times New Roman" w:cs="Times New Roman"/>
          <w:i/>
          <w:sz w:val="24"/>
          <w:szCs w:val="21"/>
        </w:rPr>
        <w:t xml:space="preserve">  </w:t>
      </w:r>
      <w:r w:rsidR="005A76C7" w:rsidRPr="00C228FC">
        <w:rPr>
          <w:rFonts w:ascii="Times New Roman" w:hAnsi="Times New Roman" w:cs="Times New Roman"/>
          <w:b/>
          <w:bCs/>
          <w:i/>
          <w:sz w:val="24"/>
          <w:szCs w:val="21"/>
        </w:rPr>
        <w:t>What might you do?</w:t>
      </w:r>
    </w:p>
    <w:p w:rsidR="00FB3AFD" w:rsidRDefault="00FB3AFD" w:rsidP="00FB3AFD">
      <w:pPr>
        <w:rPr>
          <w:rFonts w:ascii="Times New Roman" w:hAnsi="Times New Roman" w:cs="Times New Roman"/>
          <w:b/>
          <w:bCs/>
          <w:i/>
          <w:sz w:val="24"/>
          <w:szCs w:val="21"/>
        </w:rPr>
      </w:pPr>
    </w:p>
    <w:p w:rsidR="00FB3AFD" w:rsidRDefault="00FB3AFD" w:rsidP="00FB3AFD">
      <w:pPr>
        <w:rPr>
          <w:rFonts w:ascii="Times New Roman" w:hAnsi="Times New Roman" w:cs="Times New Roman"/>
          <w:b/>
          <w:bCs/>
          <w:i/>
          <w:sz w:val="24"/>
          <w:szCs w:val="21"/>
        </w:rPr>
      </w:pPr>
    </w:p>
    <w:p w:rsidR="00FB3AFD" w:rsidRDefault="00FB3AFD" w:rsidP="00FB3AFD">
      <w:pPr>
        <w:rPr>
          <w:rFonts w:ascii="Times New Roman" w:hAnsi="Times New Roman" w:cs="Times New Roman"/>
          <w:i/>
          <w:sz w:val="21"/>
          <w:szCs w:val="21"/>
        </w:rPr>
      </w:pPr>
    </w:p>
    <w:p w:rsidR="00FB3AFD" w:rsidRPr="00FB3AFD" w:rsidRDefault="00FB3AFD" w:rsidP="00FB3AFD">
      <w:pPr>
        <w:numPr>
          <w:ilvl w:val="0"/>
          <w:numId w:val="27"/>
        </w:numPr>
        <w:rPr>
          <w:rFonts w:ascii="Times New Roman" w:hAnsi="Times New Roman" w:cs="Times New Roman"/>
          <w:b/>
          <w:bCs/>
          <w:i/>
          <w:sz w:val="24"/>
          <w:szCs w:val="21"/>
        </w:rPr>
      </w:pPr>
      <w:r w:rsidRPr="00FB3AFD">
        <w:rPr>
          <w:rFonts w:ascii="Times New Roman" w:hAnsi="Times New Roman" w:cs="Times New Roman"/>
          <w:b/>
          <w:bCs/>
          <w:i/>
          <w:sz w:val="24"/>
          <w:szCs w:val="21"/>
        </w:rPr>
        <w:t>Is there another HIP (service-learning, undergraduate research, writing intensive, etc.) that you could build into</w:t>
      </w:r>
      <w:r w:rsidR="00FF42D3">
        <w:rPr>
          <w:rFonts w:ascii="Times New Roman" w:hAnsi="Times New Roman" w:cs="Times New Roman"/>
          <w:b/>
          <w:bCs/>
          <w:i/>
          <w:sz w:val="24"/>
          <w:szCs w:val="21"/>
        </w:rPr>
        <w:t xml:space="preserve"> (introduce, offer an experience) in</w:t>
      </w:r>
      <w:r w:rsidRPr="00FB3AFD">
        <w:rPr>
          <w:rFonts w:ascii="Times New Roman" w:hAnsi="Times New Roman" w:cs="Times New Roman"/>
          <w:b/>
          <w:bCs/>
          <w:i/>
          <w:sz w:val="24"/>
          <w:szCs w:val="21"/>
        </w:rPr>
        <w:t xml:space="preserve"> your LC to expose students to a second HIP?</w:t>
      </w:r>
    </w:p>
    <w:sectPr w:rsidR="00FB3AFD" w:rsidRPr="00FB3AFD" w:rsidSect="00B931F7">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409F" w:rsidRDefault="009C409F" w:rsidP="000659FD">
      <w:pPr>
        <w:spacing w:after="0" w:line="240" w:lineRule="auto"/>
      </w:pPr>
      <w:r>
        <w:separator/>
      </w:r>
    </w:p>
  </w:endnote>
  <w:endnote w:type="continuationSeparator" w:id="0">
    <w:p w:rsidR="009C409F" w:rsidRDefault="009C409F" w:rsidP="000659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1757" w:rsidRDefault="005F1757">
    <w:pPr>
      <w:pStyle w:val="Footer"/>
    </w:pPr>
  </w:p>
  <w:p w:rsidR="000659FD" w:rsidRDefault="000659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409F" w:rsidRDefault="009C409F" w:rsidP="000659FD">
      <w:pPr>
        <w:spacing w:after="0" w:line="240" w:lineRule="auto"/>
      </w:pPr>
      <w:r>
        <w:separator/>
      </w:r>
    </w:p>
  </w:footnote>
  <w:footnote w:type="continuationSeparator" w:id="0">
    <w:p w:rsidR="009C409F" w:rsidRDefault="009C409F" w:rsidP="000659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F78E3"/>
    <w:multiLevelType w:val="hybridMultilevel"/>
    <w:tmpl w:val="C6DEA64C"/>
    <w:lvl w:ilvl="0" w:tplc="12163BE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0904F8"/>
    <w:multiLevelType w:val="hybridMultilevel"/>
    <w:tmpl w:val="7CF08C72"/>
    <w:lvl w:ilvl="0" w:tplc="653AD8E2">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B90729"/>
    <w:multiLevelType w:val="hybridMultilevel"/>
    <w:tmpl w:val="9EF24B04"/>
    <w:lvl w:ilvl="0" w:tplc="68448E1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827F6F"/>
    <w:multiLevelType w:val="hybridMultilevel"/>
    <w:tmpl w:val="478AF5DE"/>
    <w:lvl w:ilvl="0" w:tplc="05F846AA">
      <w:start w:val="1"/>
      <w:numFmt w:val="bullet"/>
      <w:lvlText w:val=""/>
      <w:lvlJc w:val="left"/>
      <w:pPr>
        <w:tabs>
          <w:tab w:val="num" w:pos="720"/>
        </w:tabs>
        <w:ind w:left="720" w:hanging="360"/>
      </w:pPr>
      <w:rPr>
        <w:rFonts w:ascii="Wingdings" w:hAnsi="Wingdings" w:hint="default"/>
      </w:rPr>
    </w:lvl>
    <w:lvl w:ilvl="1" w:tplc="6674EEB4" w:tentative="1">
      <w:start w:val="1"/>
      <w:numFmt w:val="bullet"/>
      <w:lvlText w:val=""/>
      <w:lvlJc w:val="left"/>
      <w:pPr>
        <w:tabs>
          <w:tab w:val="num" w:pos="1440"/>
        </w:tabs>
        <w:ind w:left="1440" w:hanging="360"/>
      </w:pPr>
      <w:rPr>
        <w:rFonts w:ascii="Wingdings" w:hAnsi="Wingdings" w:hint="default"/>
      </w:rPr>
    </w:lvl>
    <w:lvl w:ilvl="2" w:tplc="2BAE0422" w:tentative="1">
      <w:start w:val="1"/>
      <w:numFmt w:val="bullet"/>
      <w:lvlText w:val=""/>
      <w:lvlJc w:val="left"/>
      <w:pPr>
        <w:tabs>
          <w:tab w:val="num" w:pos="2160"/>
        </w:tabs>
        <w:ind w:left="2160" w:hanging="360"/>
      </w:pPr>
      <w:rPr>
        <w:rFonts w:ascii="Wingdings" w:hAnsi="Wingdings" w:hint="default"/>
      </w:rPr>
    </w:lvl>
    <w:lvl w:ilvl="3" w:tplc="FF2E5582" w:tentative="1">
      <w:start w:val="1"/>
      <w:numFmt w:val="bullet"/>
      <w:lvlText w:val=""/>
      <w:lvlJc w:val="left"/>
      <w:pPr>
        <w:tabs>
          <w:tab w:val="num" w:pos="2880"/>
        </w:tabs>
        <w:ind w:left="2880" w:hanging="360"/>
      </w:pPr>
      <w:rPr>
        <w:rFonts w:ascii="Wingdings" w:hAnsi="Wingdings" w:hint="default"/>
      </w:rPr>
    </w:lvl>
    <w:lvl w:ilvl="4" w:tplc="C53E90AE" w:tentative="1">
      <w:start w:val="1"/>
      <w:numFmt w:val="bullet"/>
      <w:lvlText w:val=""/>
      <w:lvlJc w:val="left"/>
      <w:pPr>
        <w:tabs>
          <w:tab w:val="num" w:pos="3600"/>
        </w:tabs>
        <w:ind w:left="3600" w:hanging="360"/>
      </w:pPr>
      <w:rPr>
        <w:rFonts w:ascii="Wingdings" w:hAnsi="Wingdings" w:hint="default"/>
      </w:rPr>
    </w:lvl>
    <w:lvl w:ilvl="5" w:tplc="08064836" w:tentative="1">
      <w:start w:val="1"/>
      <w:numFmt w:val="bullet"/>
      <w:lvlText w:val=""/>
      <w:lvlJc w:val="left"/>
      <w:pPr>
        <w:tabs>
          <w:tab w:val="num" w:pos="4320"/>
        </w:tabs>
        <w:ind w:left="4320" w:hanging="360"/>
      </w:pPr>
      <w:rPr>
        <w:rFonts w:ascii="Wingdings" w:hAnsi="Wingdings" w:hint="default"/>
      </w:rPr>
    </w:lvl>
    <w:lvl w:ilvl="6" w:tplc="AFA4B552" w:tentative="1">
      <w:start w:val="1"/>
      <w:numFmt w:val="bullet"/>
      <w:lvlText w:val=""/>
      <w:lvlJc w:val="left"/>
      <w:pPr>
        <w:tabs>
          <w:tab w:val="num" w:pos="5040"/>
        </w:tabs>
        <w:ind w:left="5040" w:hanging="360"/>
      </w:pPr>
      <w:rPr>
        <w:rFonts w:ascii="Wingdings" w:hAnsi="Wingdings" w:hint="default"/>
      </w:rPr>
    </w:lvl>
    <w:lvl w:ilvl="7" w:tplc="BAD4CE78" w:tentative="1">
      <w:start w:val="1"/>
      <w:numFmt w:val="bullet"/>
      <w:lvlText w:val=""/>
      <w:lvlJc w:val="left"/>
      <w:pPr>
        <w:tabs>
          <w:tab w:val="num" w:pos="5760"/>
        </w:tabs>
        <w:ind w:left="5760" w:hanging="360"/>
      </w:pPr>
      <w:rPr>
        <w:rFonts w:ascii="Wingdings" w:hAnsi="Wingdings" w:hint="default"/>
      </w:rPr>
    </w:lvl>
    <w:lvl w:ilvl="8" w:tplc="58D8C326"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F85A75"/>
    <w:multiLevelType w:val="hybridMultilevel"/>
    <w:tmpl w:val="45C85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2F4397"/>
    <w:multiLevelType w:val="hybridMultilevel"/>
    <w:tmpl w:val="6BC61222"/>
    <w:lvl w:ilvl="0" w:tplc="AC7A6DA0">
      <w:start w:val="6"/>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641A58"/>
    <w:multiLevelType w:val="hybridMultilevel"/>
    <w:tmpl w:val="B8FC2DA4"/>
    <w:lvl w:ilvl="0" w:tplc="6DDADA60">
      <w:start w:val="9"/>
      <w:numFmt w:val="lowerLetter"/>
      <w:lvlText w:val="%1."/>
      <w:lvlJc w:val="left"/>
      <w:pPr>
        <w:ind w:left="108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E2238A2"/>
    <w:multiLevelType w:val="hybridMultilevel"/>
    <w:tmpl w:val="9CE21AD8"/>
    <w:lvl w:ilvl="0" w:tplc="05D28C2A">
      <w:start w:val="3"/>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4B58D0"/>
    <w:multiLevelType w:val="hybridMultilevel"/>
    <w:tmpl w:val="F8683354"/>
    <w:lvl w:ilvl="0" w:tplc="68448E1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61103B"/>
    <w:multiLevelType w:val="hybridMultilevel"/>
    <w:tmpl w:val="193C9A2A"/>
    <w:lvl w:ilvl="0" w:tplc="914EDDCA">
      <w:start w:val="3"/>
      <w:numFmt w:val="bullet"/>
      <w:lvlText w:val="-"/>
      <w:lvlJc w:val="left"/>
      <w:pPr>
        <w:ind w:left="720" w:hanging="360"/>
      </w:pPr>
      <w:rPr>
        <w:rFonts w:ascii="Times New Roman" w:eastAsiaTheme="minorHAnsi" w:hAnsi="Times New Roman" w:cs="Times New Roman" w:hint="default"/>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8A02C8"/>
    <w:multiLevelType w:val="hybridMultilevel"/>
    <w:tmpl w:val="C4BC1B92"/>
    <w:lvl w:ilvl="0" w:tplc="68448E1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9114CF"/>
    <w:multiLevelType w:val="hybridMultilevel"/>
    <w:tmpl w:val="FFA88C8E"/>
    <w:lvl w:ilvl="0" w:tplc="68448E1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802716"/>
    <w:multiLevelType w:val="hybridMultilevel"/>
    <w:tmpl w:val="51605758"/>
    <w:lvl w:ilvl="0" w:tplc="68448E1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0908C7"/>
    <w:multiLevelType w:val="hybridMultilevel"/>
    <w:tmpl w:val="F790118A"/>
    <w:lvl w:ilvl="0" w:tplc="914EDDCA">
      <w:start w:val="3"/>
      <w:numFmt w:val="bullet"/>
      <w:lvlText w:val="-"/>
      <w:lvlJc w:val="left"/>
      <w:pPr>
        <w:ind w:left="720" w:hanging="360"/>
      </w:pPr>
      <w:rPr>
        <w:rFonts w:ascii="Times New Roman" w:eastAsiaTheme="minorHAnsi" w:hAnsi="Times New Roman" w:cs="Times New Roman" w:hint="default"/>
      </w:rPr>
    </w:lvl>
    <w:lvl w:ilvl="1" w:tplc="87FC573C">
      <w:start w:val="3"/>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EC4A6B"/>
    <w:multiLevelType w:val="hybridMultilevel"/>
    <w:tmpl w:val="66BA65D2"/>
    <w:lvl w:ilvl="0" w:tplc="70C6F6D8">
      <w:start w:val="8"/>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712211"/>
    <w:multiLevelType w:val="hybridMultilevel"/>
    <w:tmpl w:val="4FC49E18"/>
    <w:lvl w:ilvl="0" w:tplc="68448E1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734E8B"/>
    <w:multiLevelType w:val="hybridMultilevel"/>
    <w:tmpl w:val="4C3AC9B6"/>
    <w:lvl w:ilvl="0" w:tplc="629A0C6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6040B2"/>
    <w:multiLevelType w:val="hybridMultilevel"/>
    <w:tmpl w:val="3520860E"/>
    <w:lvl w:ilvl="0" w:tplc="04090019">
      <w:start w:val="1"/>
      <w:numFmt w:val="lowerLetter"/>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7646A97"/>
    <w:multiLevelType w:val="hybridMultilevel"/>
    <w:tmpl w:val="05D41054"/>
    <w:lvl w:ilvl="0" w:tplc="68448E16">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6433AF"/>
    <w:multiLevelType w:val="hybridMultilevel"/>
    <w:tmpl w:val="0A4422AE"/>
    <w:lvl w:ilvl="0" w:tplc="C818D9B2">
      <w:start w:val="1"/>
      <w:numFmt w:val="bullet"/>
      <w:lvlText w:val="•"/>
      <w:lvlJc w:val="left"/>
      <w:pPr>
        <w:tabs>
          <w:tab w:val="num" w:pos="720"/>
        </w:tabs>
        <w:ind w:left="720" w:hanging="360"/>
      </w:pPr>
      <w:rPr>
        <w:rFonts w:ascii="Arial" w:hAnsi="Arial" w:hint="default"/>
      </w:rPr>
    </w:lvl>
    <w:lvl w:ilvl="1" w:tplc="069A962A" w:tentative="1">
      <w:start w:val="1"/>
      <w:numFmt w:val="bullet"/>
      <w:lvlText w:val="•"/>
      <w:lvlJc w:val="left"/>
      <w:pPr>
        <w:tabs>
          <w:tab w:val="num" w:pos="1440"/>
        </w:tabs>
        <w:ind w:left="1440" w:hanging="360"/>
      </w:pPr>
      <w:rPr>
        <w:rFonts w:ascii="Arial" w:hAnsi="Arial" w:hint="default"/>
      </w:rPr>
    </w:lvl>
    <w:lvl w:ilvl="2" w:tplc="6270F2B2" w:tentative="1">
      <w:start w:val="1"/>
      <w:numFmt w:val="bullet"/>
      <w:lvlText w:val="•"/>
      <w:lvlJc w:val="left"/>
      <w:pPr>
        <w:tabs>
          <w:tab w:val="num" w:pos="2160"/>
        </w:tabs>
        <w:ind w:left="2160" w:hanging="360"/>
      </w:pPr>
      <w:rPr>
        <w:rFonts w:ascii="Arial" w:hAnsi="Arial" w:hint="default"/>
      </w:rPr>
    </w:lvl>
    <w:lvl w:ilvl="3" w:tplc="51AEEF5E" w:tentative="1">
      <w:start w:val="1"/>
      <w:numFmt w:val="bullet"/>
      <w:lvlText w:val="•"/>
      <w:lvlJc w:val="left"/>
      <w:pPr>
        <w:tabs>
          <w:tab w:val="num" w:pos="2880"/>
        </w:tabs>
        <w:ind w:left="2880" w:hanging="360"/>
      </w:pPr>
      <w:rPr>
        <w:rFonts w:ascii="Arial" w:hAnsi="Arial" w:hint="default"/>
      </w:rPr>
    </w:lvl>
    <w:lvl w:ilvl="4" w:tplc="69C4E01A" w:tentative="1">
      <w:start w:val="1"/>
      <w:numFmt w:val="bullet"/>
      <w:lvlText w:val="•"/>
      <w:lvlJc w:val="left"/>
      <w:pPr>
        <w:tabs>
          <w:tab w:val="num" w:pos="3600"/>
        </w:tabs>
        <w:ind w:left="3600" w:hanging="360"/>
      </w:pPr>
      <w:rPr>
        <w:rFonts w:ascii="Arial" w:hAnsi="Arial" w:hint="default"/>
      </w:rPr>
    </w:lvl>
    <w:lvl w:ilvl="5" w:tplc="E2B6DD50" w:tentative="1">
      <w:start w:val="1"/>
      <w:numFmt w:val="bullet"/>
      <w:lvlText w:val="•"/>
      <w:lvlJc w:val="left"/>
      <w:pPr>
        <w:tabs>
          <w:tab w:val="num" w:pos="4320"/>
        </w:tabs>
        <w:ind w:left="4320" w:hanging="360"/>
      </w:pPr>
      <w:rPr>
        <w:rFonts w:ascii="Arial" w:hAnsi="Arial" w:hint="default"/>
      </w:rPr>
    </w:lvl>
    <w:lvl w:ilvl="6" w:tplc="BEFA03B0" w:tentative="1">
      <w:start w:val="1"/>
      <w:numFmt w:val="bullet"/>
      <w:lvlText w:val="•"/>
      <w:lvlJc w:val="left"/>
      <w:pPr>
        <w:tabs>
          <w:tab w:val="num" w:pos="5040"/>
        </w:tabs>
        <w:ind w:left="5040" w:hanging="360"/>
      </w:pPr>
      <w:rPr>
        <w:rFonts w:ascii="Arial" w:hAnsi="Arial" w:hint="default"/>
      </w:rPr>
    </w:lvl>
    <w:lvl w:ilvl="7" w:tplc="B380E87A" w:tentative="1">
      <w:start w:val="1"/>
      <w:numFmt w:val="bullet"/>
      <w:lvlText w:val="•"/>
      <w:lvlJc w:val="left"/>
      <w:pPr>
        <w:tabs>
          <w:tab w:val="num" w:pos="5760"/>
        </w:tabs>
        <w:ind w:left="5760" w:hanging="360"/>
      </w:pPr>
      <w:rPr>
        <w:rFonts w:ascii="Arial" w:hAnsi="Arial" w:hint="default"/>
      </w:rPr>
    </w:lvl>
    <w:lvl w:ilvl="8" w:tplc="3BD603BC"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5CA60ACC"/>
    <w:multiLevelType w:val="hybridMultilevel"/>
    <w:tmpl w:val="D6C860C4"/>
    <w:lvl w:ilvl="0" w:tplc="E75E80C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C6113E"/>
    <w:multiLevelType w:val="hybridMultilevel"/>
    <w:tmpl w:val="754A3DD8"/>
    <w:lvl w:ilvl="0" w:tplc="68448E1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5331CE"/>
    <w:multiLevelType w:val="hybridMultilevel"/>
    <w:tmpl w:val="106AF0D6"/>
    <w:lvl w:ilvl="0" w:tplc="914EDDCA">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91479C3"/>
    <w:multiLevelType w:val="hybridMultilevel"/>
    <w:tmpl w:val="EB9452C6"/>
    <w:lvl w:ilvl="0" w:tplc="D520B77E">
      <w:start w:val="1"/>
      <w:numFmt w:val="bullet"/>
      <w:lvlText w:val="•"/>
      <w:lvlJc w:val="left"/>
      <w:pPr>
        <w:tabs>
          <w:tab w:val="num" w:pos="720"/>
        </w:tabs>
        <w:ind w:left="720" w:hanging="360"/>
      </w:pPr>
      <w:rPr>
        <w:rFonts w:ascii="Arial" w:hAnsi="Arial" w:hint="default"/>
      </w:rPr>
    </w:lvl>
    <w:lvl w:ilvl="1" w:tplc="CA26CBF2">
      <w:start w:val="158"/>
      <w:numFmt w:val="bullet"/>
      <w:lvlText w:val="–"/>
      <w:lvlJc w:val="left"/>
      <w:pPr>
        <w:tabs>
          <w:tab w:val="num" w:pos="1440"/>
        </w:tabs>
        <w:ind w:left="1440" w:hanging="360"/>
      </w:pPr>
      <w:rPr>
        <w:rFonts w:ascii="Arial" w:hAnsi="Arial" w:hint="default"/>
      </w:rPr>
    </w:lvl>
    <w:lvl w:ilvl="2" w:tplc="C0D8C6E4" w:tentative="1">
      <w:start w:val="1"/>
      <w:numFmt w:val="bullet"/>
      <w:lvlText w:val="•"/>
      <w:lvlJc w:val="left"/>
      <w:pPr>
        <w:tabs>
          <w:tab w:val="num" w:pos="2160"/>
        </w:tabs>
        <w:ind w:left="2160" w:hanging="360"/>
      </w:pPr>
      <w:rPr>
        <w:rFonts w:ascii="Arial" w:hAnsi="Arial" w:hint="default"/>
      </w:rPr>
    </w:lvl>
    <w:lvl w:ilvl="3" w:tplc="A61E528E" w:tentative="1">
      <w:start w:val="1"/>
      <w:numFmt w:val="bullet"/>
      <w:lvlText w:val="•"/>
      <w:lvlJc w:val="left"/>
      <w:pPr>
        <w:tabs>
          <w:tab w:val="num" w:pos="2880"/>
        </w:tabs>
        <w:ind w:left="2880" w:hanging="360"/>
      </w:pPr>
      <w:rPr>
        <w:rFonts w:ascii="Arial" w:hAnsi="Arial" w:hint="default"/>
      </w:rPr>
    </w:lvl>
    <w:lvl w:ilvl="4" w:tplc="7E9238A6" w:tentative="1">
      <w:start w:val="1"/>
      <w:numFmt w:val="bullet"/>
      <w:lvlText w:val="•"/>
      <w:lvlJc w:val="left"/>
      <w:pPr>
        <w:tabs>
          <w:tab w:val="num" w:pos="3600"/>
        </w:tabs>
        <w:ind w:left="3600" w:hanging="360"/>
      </w:pPr>
      <w:rPr>
        <w:rFonts w:ascii="Arial" w:hAnsi="Arial" w:hint="default"/>
      </w:rPr>
    </w:lvl>
    <w:lvl w:ilvl="5" w:tplc="C97AEB70" w:tentative="1">
      <w:start w:val="1"/>
      <w:numFmt w:val="bullet"/>
      <w:lvlText w:val="•"/>
      <w:lvlJc w:val="left"/>
      <w:pPr>
        <w:tabs>
          <w:tab w:val="num" w:pos="4320"/>
        </w:tabs>
        <w:ind w:left="4320" w:hanging="360"/>
      </w:pPr>
      <w:rPr>
        <w:rFonts w:ascii="Arial" w:hAnsi="Arial" w:hint="default"/>
      </w:rPr>
    </w:lvl>
    <w:lvl w:ilvl="6" w:tplc="EB5CDD36" w:tentative="1">
      <w:start w:val="1"/>
      <w:numFmt w:val="bullet"/>
      <w:lvlText w:val="•"/>
      <w:lvlJc w:val="left"/>
      <w:pPr>
        <w:tabs>
          <w:tab w:val="num" w:pos="5040"/>
        </w:tabs>
        <w:ind w:left="5040" w:hanging="360"/>
      </w:pPr>
      <w:rPr>
        <w:rFonts w:ascii="Arial" w:hAnsi="Arial" w:hint="default"/>
      </w:rPr>
    </w:lvl>
    <w:lvl w:ilvl="7" w:tplc="F6C4637E" w:tentative="1">
      <w:start w:val="1"/>
      <w:numFmt w:val="bullet"/>
      <w:lvlText w:val="•"/>
      <w:lvlJc w:val="left"/>
      <w:pPr>
        <w:tabs>
          <w:tab w:val="num" w:pos="5760"/>
        </w:tabs>
        <w:ind w:left="5760" w:hanging="360"/>
      </w:pPr>
      <w:rPr>
        <w:rFonts w:ascii="Arial" w:hAnsi="Arial" w:hint="default"/>
      </w:rPr>
    </w:lvl>
    <w:lvl w:ilvl="8" w:tplc="57FCB54E"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95A6C7C"/>
    <w:multiLevelType w:val="hybridMultilevel"/>
    <w:tmpl w:val="3520860E"/>
    <w:lvl w:ilvl="0" w:tplc="04090019">
      <w:start w:val="1"/>
      <w:numFmt w:val="lowerLetter"/>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AE52360"/>
    <w:multiLevelType w:val="hybridMultilevel"/>
    <w:tmpl w:val="6CF0A4BC"/>
    <w:lvl w:ilvl="0" w:tplc="1F2C5E1A">
      <w:start w:val="3"/>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E2127F7"/>
    <w:multiLevelType w:val="hybridMultilevel"/>
    <w:tmpl w:val="AF0E31A2"/>
    <w:lvl w:ilvl="0" w:tplc="68448E1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431439"/>
    <w:multiLevelType w:val="hybridMultilevel"/>
    <w:tmpl w:val="F348A156"/>
    <w:lvl w:ilvl="0" w:tplc="12163BE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8C1494"/>
    <w:multiLevelType w:val="hybridMultilevel"/>
    <w:tmpl w:val="55E2231E"/>
    <w:lvl w:ilvl="0" w:tplc="68448E1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0"/>
  </w:num>
  <w:num w:numId="3">
    <w:abstractNumId w:val="27"/>
  </w:num>
  <w:num w:numId="4">
    <w:abstractNumId w:val="21"/>
  </w:num>
  <w:num w:numId="5">
    <w:abstractNumId w:val="11"/>
  </w:num>
  <w:num w:numId="6">
    <w:abstractNumId w:val="28"/>
  </w:num>
  <w:num w:numId="7">
    <w:abstractNumId w:val="26"/>
  </w:num>
  <w:num w:numId="8">
    <w:abstractNumId w:val="15"/>
  </w:num>
  <w:num w:numId="9">
    <w:abstractNumId w:val="8"/>
  </w:num>
  <w:num w:numId="10">
    <w:abstractNumId w:val="10"/>
  </w:num>
  <w:num w:numId="11">
    <w:abstractNumId w:val="12"/>
  </w:num>
  <w:num w:numId="12">
    <w:abstractNumId w:val="4"/>
  </w:num>
  <w:num w:numId="13">
    <w:abstractNumId w:val="2"/>
  </w:num>
  <w:num w:numId="14">
    <w:abstractNumId w:val="20"/>
  </w:num>
  <w:num w:numId="15">
    <w:abstractNumId w:val="18"/>
  </w:num>
  <w:num w:numId="16">
    <w:abstractNumId w:val="17"/>
  </w:num>
  <w:num w:numId="17">
    <w:abstractNumId w:val="25"/>
  </w:num>
  <w:num w:numId="18">
    <w:abstractNumId w:val="22"/>
  </w:num>
  <w:num w:numId="19">
    <w:abstractNumId w:val="9"/>
  </w:num>
  <w:num w:numId="20">
    <w:abstractNumId w:val="24"/>
  </w:num>
  <w:num w:numId="21">
    <w:abstractNumId w:val="13"/>
  </w:num>
  <w:num w:numId="22">
    <w:abstractNumId w:val="7"/>
  </w:num>
  <w:num w:numId="23">
    <w:abstractNumId w:val="6"/>
  </w:num>
  <w:num w:numId="24">
    <w:abstractNumId w:val="1"/>
  </w:num>
  <w:num w:numId="25">
    <w:abstractNumId w:val="5"/>
  </w:num>
  <w:num w:numId="26">
    <w:abstractNumId w:val="14"/>
  </w:num>
  <w:num w:numId="27">
    <w:abstractNumId w:val="23"/>
  </w:num>
  <w:num w:numId="28">
    <w:abstractNumId w:val="3"/>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493"/>
    <w:rsid w:val="00025894"/>
    <w:rsid w:val="000659FD"/>
    <w:rsid w:val="00112155"/>
    <w:rsid w:val="001639F5"/>
    <w:rsid w:val="0017204F"/>
    <w:rsid w:val="001A7F2A"/>
    <w:rsid w:val="002119F5"/>
    <w:rsid w:val="00262358"/>
    <w:rsid w:val="002B260F"/>
    <w:rsid w:val="00305608"/>
    <w:rsid w:val="0039451A"/>
    <w:rsid w:val="003B27D7"/>
    <w:rsid w:val="003D3672"/>
    <w:rsid w:val="004275A6"/>
    <w:rsid w:val="00456998"/>
    <w:rsid w:val="00484D27"/>
    <w:rsid w:val="004E49E2"/>
    <w:rsid w:val="004F6284"/>
    <w:rsid w:val="005A42E3"/>
    <w:rsid w:val="005A76C7"/>
    <w:rsid w:val="005B2F6B"/>
    <w:rsid w:val="005F1757"/>
    <w:rsid w:val="00711305"/>
    <w:rsid w:val="0072470C"/>
    <w:rsid w:val="007373F1"/>
    <w:rsid w:val="007719EC"/>
    <w:rsid w:val="00790762"/>
    <w:rsid w:val="00794CA8"/>
    <w:rsid w:val="008169AE"/>
    <w:rsid w:val="00823DE7"/>
    <w:rsid w:val="00844479"/>
    <w:rsid w:val="0086675D"/>
    <w:rsid w:val="008804FE"/>
    <w:rsid w:val="00893C70"/>
    <w:rsid w:val="00940041"/>
    <w:rsid w:val="00971176"/>
    <w:rsid w:val="009739CC"/>
    <w:rsid w:val="00990934"/>
    <w:rsid w:val="009C409F"/>
    <w:rsid w:val="00A02026"/>
    <w:rsid w:val="00A06611"/>
    <w:rsid w:val="00A40863"/>
    <w:rsid w:val="00A962F6"/>
    <w:rsid w:val="00B44749"/>
    <w:rsid w:val="00B7641D"/>
    <w:rsid w:val="00B931F7"/>
    <w:rsid w:val="00BD33C0"/>
    <w:rsid w:val="00C06902"/>
    <w:rsid w:val="00C14A08"/>
    <w:rsid w:val="00C228FC"/>
    <w:rsid w:val="00C566D9"/>
    <w:rsid w:val="00C7120A"/>
    <w:rsid w:val="00CA2DE6"/>
    <w:rsid w:val="00CA42C0"/>
    <w:rsid w:val="00CE0493"/>
    <w:rsid w:val="00D34006"/>
    <w:rsid w:val="00D370DC"/>
    <w:rsid w:val="00D46523"/>
    <w:rsid w:val="00DD2117"/>
    <w:rsid w:val="00DD49DB"/>
    <w:rsid w:val="00E81C5B"/>
    <w:rsid w:val="00F74C13"/>
    <w:rsid w:val="00F91390"/>
    <w:rsid w:val="00FB3AFD"/>
    <w:rsid w:val="00FF42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733B2"/>
  <w15:chartTrackingRefBased/>
  <w15:docId w15:val="{6DEAAF73-3021-4A7B-8E1B-32C1B8FF1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E04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659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59FD"/>
  </w:style>
  <w:style w:type="paragraph" w:styleId="Footer">
    <w:name w:val="footer"/>
    <w:basedOn w:val="Normal"/>
    <w:link w:val="FooterChar"/>
    <w:uiPriority w:val="99"/>
    <w:unhideWhenUsed/>
    <w:rsid w:val="000659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59FD"/>
  </w:style>
  <w:style w:type="paragraph" w:styleId="ListParagraph">
    <w:name w:val="List Paragraph"/>
    <w:basedOn w:val="Normal"/>
    <w:uiPriority w:val="34"/>
    <w:qFormat/>
    <w:rsid w:val="00A06611"/>
    <w:pPr>
      <w:ind w:left="720"/>
      <w:contextualSpacing/>
    </w:pPr>
  </w:style>
  <w:style w:type="paragraph" w:styleId="EndnoteText">
    <w:name w:val="endnote text"/>
    <w:basedOn w:val="Normal"/>
    <w:link w:val="EndnoteTextChar"/>
    <w:uiPriority w:val="99"/>
    <w:semiHidden/>
    <w:unhideWhenUsed/>
    <w:rsid w:val="005F175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F1757"/>
    <w:rPr>
      <w:sz w:val="20"/>
      <w:szCs w:val="20"/>
    </w:rPr>
  </w:style>
  <w:style w:type="character" w:styleId="EndnoteReference">
    <w:name w:val="endnote reference"/>
    <w:basedOn w:val="DefaultParagraphFont"/>
    <w:uiPriority w:val="99"/>
    <w:semiHidden/>
    <w:unhideWhenUsed/>
    <w:rsid w:val="005F1757"/>
    <w:rPr>
      <w:vertAlign w:val="superscript"/>
    </w:rPr>
  </w:style>
  <w:style w:type="paragraph" w:styleId="BalloonText">
    <w:name w:val="Balloon Text"/>
    <w:basedOn w:val="Normal"/>
    <w:link w:val="BalloonTextChar"/>
    <w:uiPriority w:val="99"/>
    <w:semiHidden/>
    <w:unhideWhenUsed/>
    <w:rsid w:val="004569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6998"/>
    <w:rPr>
      <w:rFonts w:ascii="Segoe UI" w:hAnsi="Segoe UI" w:cs="Segoe UI"/>
      <w:sz w:val="18"/>
      <w:szCs w:val="18"/>
    </w:rPr>
  </w:style>
  <w:style w:type="character" w:styleId="Hyperlink">
    <w:name w:val="Hyperlink"/>
    <w:basedOn w:val="DefaultParagraphFont"/>
    <w:uiPriority w:val="99"/>
    <w:unhideWhenUsed/>
    <w:rsid w:val="001A7F2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9720962">
      <w:bodyDiv w:val="1"/>
      <w:marLeft w:val="0"/>
      <w:marRight w:val="0"/>
      <w:marTop w:val="0"/>
      <w:marBottom w:val="0"/>
      <w:divBdr>
        <w:top w:val="none" w:sz="0" w:space="0" w:color="auto"/>
        <w:left w:val="none" w:sz="0" w:space="0" w:color="auto"/>
        <w:bottom w:val="none" w:sz="0" w:space="0" w:color="auto"/>
        <w:right w:val="none" w:sz="0" w:space="0" w:color="auto"/>
      </w:divBdr>
    </w:div>
    <w:div w:id="522786461">
      <w:bodyDiv w:val="1"/>
      <w:marLeft w:val="0"/>
      <w:marRight w:val="0"/>
      <w:marTop w:val="0"/>
      <w:marBottom w:val="0"/>
      <w:divBdr>
        <w:top w:val="none" w:sz="0" w:space="0" w:color="auto"/>
        <w:left w:val="none" w:sz="0" w:space="0" w:color="auto"/>
        <w:bottom w:val="none" w:sz="0" w:space="0" w:color="auto"/>
        <w:right w:val="none" w:sz="0" w:space="0" w:color="auto"/>
      </w:divBdr>
      <w:divsChild>
        <w:div w:id="2008484757">
          <w:marLeft w:val="547"/>
          <w:marRight w:val="0"/>
          <w:marTop w:val="154"/>
          <w:marBottom w:val="0"/>
          <w:divBdr>
            <w:top w:val="none" w:sz="0" w:space="0" w:color="auto"/>
            <w:left w:val="none" w:sz="0" w:space="0" w:color="auto"/>
            <w:bottom w:val="none" w:sz="0" w:space="0" w:color="auto"/>
            <w:right w:val="none" w:sz="0" w:space="0" w:color="auto"/>
          </w:divBdr>
        </w:div>
        <w:div w:id="1244871155">
          <w:marLeft w:val="547"/>
          <w:marRight w:val="0"/>
          <w:marTop w:val="154"/>
          <w:marBottom w:val="0"/>
          <w:divBdr>
            <w:top w:val="none" w:sz="0" w:space="0" w:color="auto"/>
            <w:left w:val="none" w:sz="0" w:space="0" w:color="auto"/>
            <w:bottom w:val="none" w:sz="0" w:space="0" w:color="auto"/>
            <w:right w:val="none" w:sz="0" w:space="0" w:color="auto"/>
          </w:divBdr>
        </w:div>
        <w:div w:id="1924293566">
          <w:marLeft w:val="547"/>
          <w:marRight w:val="0"/>
          <w:marTop w:val="154"/>
          <w:marBottom w:val="0"/>
          <w:divBdr>
            <w:top w:val="none" w:sz="0" w:space="0" w:color="auto"/>
            <w:left w:val="none" w:sz="0" w:space="0" w:color="auto"/>
            <w:bottom w:val="none" w:sz="0" w:space="0" w:color="auto"/>
            <w:right w:val="none" w:sz="0" w:space="0" w:color="auto"/>
          </w:divBdr>
        </w:div>
      </w:divsChild>
    </w:div>
    <w:div w:id="630597054">
      <w:bodyDiv w:val="1"/>
      <w:marLeft w:val="0"/>
      <w:marRight w:val="0"/>
      <w:marTop w:val="0"/>
      <w:marBottom w:val="0"/>
      <w:divBdr>
        <w:top w:val="none" w:sz="0" w:space="0" w:color="auto"/>
        <w:left w:val="none" w:sz="0" w:space="0" w:color="auto"/>
        <w:bottom w:val="none" w:sz="0" w:space="0" w:color="auto"/>
        <w:right w:val="none" w:sz="0" w:space="0" w:color="auto"/>
      </w:divBdr>
    </w:div>
    <w:div w:id="696390274">
      <w:bodyDiv w:val="1"/>
      <w:marLeft w:val="0"/>
      <w:marRight w:val="0"/>
      <w:marTop w:val="0"/>
      <w:marBottom w:val="0"/>
      <w:divBdr>
        <w:top w:val="none" w:sz="0" w:space="0" w:color="auto"/>
        <w:left w:val="none" w:sz="0" w:space="0" w:color="auto"/>
        <w:bottom w:val="none" w:sz="0" w:space="0" w:color="auto"/>
        <w:right w:val="none" w:sz="0" w:space="0" w:color="auto"/>
      </w:divBdr>
      <w:divsChild>
        <w:div w:id="835610335">
          <w:marLeft w:val="547"/>
          <w:marRight w:val="0"/>
          <w:marTop w:val="384"/>
          <w:marBottom w:val="0"/>
          <w:divBdr>
            <w:top w:val="none" w:sz="0" w:space="0" w:color="auto"/>
            <w:left w:val="none" w:sz="0" w:space="0" w:color="auto"/>
            <w:bottom w:val="none" w:sz="0" w:space="0" w:color="auto"/>
            <w:right w:val="none" w:sz="0" w:space="0" w:color="auto"/>
          </w:divBdr>
        </w:div>
        <w:div w:id="1671179939">
          <w:marLeft w:val="547"/>
          <w:marRight w:val="0"/>
          <w:marTop w:val="384"/>
          <w:marBottom w:val="0"/>
          <w:divBdr>
            <w:top w:val="none" w:sz="0" w:space="0" w:color="auto"/>
            <w:left w:val="none" w:sz="0" w:space="0" w:color="auto"/>
            <w:bottom w:val="none" w:sz="0" w:space="0" w:color="auto"/>
            <w:right w:val="none" w:sz="0" w:space="0" w:color="auto"/>
          </w:divBdr>
        </w:div>
      </w:divsChild>
    </w:div>
    <w:div w:id="750129026">
      <w:bodyDiv w:val="1"/>
      <w:marLeft w:val="0"/>
      <w:marRight w:val="0"/>
      <w:marTop w:val="0"/>
      <w:marBottom w:val="0"/>
      <w:divBdr>
        <w:top w:val="none" w:sz="0" w:space="0" w:color="auto"/>
        <w:left w:val="none" w:sz="0" w:space="0" w:color="auto"/>
        <w:bottom w:val="none" w:sz="0" w:space="0" w:color="auto"/>
        <w:right w:val="none" w:sz="0" w:space="0" w:color="auto"/>
      </w:divBdr>
      <w:divsChild>
        <w:div w:id="783615589">
          <w:marLeft w:val="547"/>
          <w:marRight w:val="0"/>
          <w:marTop w:val="384"/>
          <w:marBottom w:val="0"/>
          <w:divBdr>
            <w:top w:val="none" w:sz="0" w:space="0" w:color="auto"/>
            <w:left w:val="none" w:sz="0" w:space="0" w:color="auto"/>
            <w:bottom w:val="none" w:sz="0" w:space="0" w:color="auto"/>
            <w:right w:val="none" w:sz="0" w:space="0" w:color="auto"/>
          </w:divBdr>
        </w:div>
        <w:div w:id="2100373197">
          <w:marLeft w:val="547"/>
          <w:marRight w:val="0"/>
          <w:marTop w:val="384"/>
          <w:marBottom w:val="0"/>
          <w:divBdr>
            <w:top w:val="none" w:sz="0" w:space="0" w:color="auto"/>
            <w:left w:val="none" w:sz="0" w:space="0" w:color="auto"/>
            <w:bottom w:val="none" w:sz="0" w:space="0" w:color="auto"/>
            <w:right w:val="none" w:sz="0" w:space="0" w:color="auto"/>
          </w:divBdr>
        </w:div>
      </w:divsChild>
    </w:div>
    <w:div w:id="876938335">
      <w:bodyDiv w:val="1"/>
      <w:marLeft w:val="0"/>
      <w:marRight w:val="0"/>
      <w:marTop w:val="0"/>
      <w:marBottom w:val="0"/>
      <w:divBdr>
        <w:top w:val="none" w:sz="0" w:space="0" w:color="auto"/>
        <w:left w:val="none" w:sz="0" w:space="0" w:color="auto"/>
        <w:bottom w:val="none" w:sz="0" w:space="0" w:color="auto"/>
        <w:right w:val="none" w:sz="0" w:space="0" w:color="auto"/>
      </w:divBdr>
      <w:divsChild>
        <w:div w:id="1396051703">
          <w:marLeft w:val="547"/>
          <w:marRight w:val="0"/>
          <w:marTop w:val="384"/>
          <w:marBottom w:val="0"/>
          <w:divBdr>
            <w:top w:val="none" w:sz="0" w:space="0" w:color="auto"/>
            <w:left w:val="none" w:sz="0" w:space="0" w:color="auto"/>
            <w:bottom w:val="none" w:sz="0" w:space="0" w:color="auto"/>
            <w:right w:val="none" w:sz="0" w:space="0" w:color="auto"/>
          </w:divBdr>
        </w:div>
        <w:div w:id="678240269">
          <w:marLeft w:val="547"/>
          <w:marRight w:val="0"/>
          <w:marTop w:val="384"/>
          <w:marBottom w:val="0"/>
          <w:divBdr>
            <w:top w:val="none" w:sz="0" w:space="0" w:color="auto"/>
            <w:left w:val="none" w:sz="0" w:space="0" w:color="auto"/>
            <w:bottom w:val="none" w:sz="0" w:space="0" w:color="auto"/>
            <w:right w:val="none" w:sz="0" w:space="0" w:color="auto"/>
          </w:divBdr>
        </w:div>
      </w:divsChild>
    </w:div>
    <w:div w:id="1013534876">
      <w:bodyDiv w:val="1"/>
      <w:marLeft w:val="0"/>
      <w:marRight w:val="0"/>
      <w:marTop w:val="0"/>
      <w:marBottom w:val="0"/>
      <w:divBdr>
        <w:top w:val="none" w:sz="0" w:space="0" w:color="auto"/>
        <w:left w:val="none" w:sz="0" w:space="0" w:color="auto"/>
        <w:bottom w:val="none" w:sz="0" w:space="0" w:color="auto"/>
        <w:right w:val="none" w:sz="0" w:space="0" w:color="auto"/>
      </w:divBdr>
      <w:divsChild>
        <w:div w:id="1831485861">
          <w:marLeft w:val="547"/>
          <w:marRight w:val="0"/>
          <w:marTop w:val="154"/>
          <w:marBottom w:val="0"/>
          <w:divBdr>
            <w:top w:val="none" w:sz="0" w:space="0" w:color="auto"/>
            <w:left w:val="none" w:sz="0" w:space="0" w:color="auto"/>
            <w:bottom w:val="none" w:sz="0" w:space="0" w:color="auto"/>
            <w:right w:val="none" w:sz="0" w:space="0" w:color="auto"/>
          </w:divBdr>
        </w:div>
        <w:div w:id="350495785">
          <w:marLeft w:val="547"/>
          <w:marRight w:val="0"/>
          <w:marTop w:val="154"/>
          <w:marBottom w:val="0"/>
          <w:divBdr>
            <w:top w:val="none" w:sz="0" w:space="0" w:color="auto"/>
            <w:left w:val="none" w:sz="0" w:space="0" w:color="auto"/>
            <w:bottom w:val="none" w:sz="0" w:space="0" w:color="auto"/>
            <w:right w:val="none" w:sz="0" w:space="0" w:color="auto"/>
          </w:divBdr>
        </w:div>
        <w:div w:id="1428116941">
          <w:marLeft w:val="547"/>
          <w:marRight w:val="0"/>
          <w:marTop w:val="154"/>
          <w:marBottom w:val="0"/>
          <w:divBdr>
            <w:top w:val="none" w:sz="0" w:space="0" w:color="auto"/>
            <w:left w:val="none" w:sz="0" w:space="0" w:color="auto"/>
            <w:bottom w:val="none" w:sz="0" w:space="0" w:color="auto"/>
            <w:right w:val="none" w:sz="0" w:space="0" w:color="auto"/>
          </w:divBdr>
        </w:div>
      </w:divsChild>
    </w:div>
    <w:div w:id="1136289400">
      <w:bodyDiv w:val="1"/>
      <w:marLeft w:val="0"/>
      <w:marRight w:val="0"/>
      <w:marTop w:val="0"/>
      <w:marBottom w:val="0"/>
      <w:divBdr>
        <w:top w:val="none" w:sz="0" w:space="0" w:color="auto"/>
        <w:left w:val="none" w:sz="0" w:space="0" w:color="auto"/>
        <w:bottom w:val="none" w:sz="0" w:space="0" w:color="auto"/>
        <w:right w:val="none" w:sz="0" w:space="0" w:color="auto"/>
      </w:divBdr>
      <w:divsChild>
        <w:div w:id="507524921">
          <w:marLeft w:val="547"/>
          <w:marRight w:val="0"/>
          <w:marTop w:val="134"/>
          <w:marBottom w:val="0"/>
          <w:divBdr>
            <w:top w:val="none" w:sz="0" w:space="0" w:color="auto"/>
            <w:left w:val="none" w:sz="0" w:space="0" w:color="auto"/>
            <w:bottom w:val="none" w:sz="0" w:space="0" w:color="auto"/>
            <w:right w:val="none" w:sz="0" w:space="0" w:color="auto"/>
          </w:divBdr>
        </w:div>
        <w:div w:id="1967007094">
          <w:marLeft w:val="547"/>
          <w:marRight w:val="0"/>
          <w:marTop w:val="134"/>
          <w:marBottom w:val="0"/>
          <w:divBdr>
            <w:top w:val="none" w:sz="0" w:space="0" w:color="auto"/>
            <w:left w:val="none" w:sz="0" w:space="0" w:color="auto"/>
            <w:bottom w:val="none" w:sz="0" w:space="0" w:color="auto"/>
            <w:right w:val="none" w:sz="0" w:space="0" w:color="auto"/>
          </w:divBdr>
        </w:div>
      </w:divsChild>
    </w:div>
    <w:div w:id="1552888142">
      <w:bodyDiv w:val="1"/>
      <w:marLeft w:val="0"/>
      <w:marRight w:val="0"/>
      <w:marTop w:val="0"/>
      <w:marBottom w:val="0"/>
      <w:divBdr>
        <w:top w:val="none" w:sz="0" w:space="0" w:color="auto"/>
        <w:left w:val="none" w:sz="0" w:space="0" w:color="auto"/>
        <w:bottom w:val="none" w:sz="0" w:space="0" w:color="auto"/>
        <w:right w:val="none" w:sz="0" w:space="0" w:color="auto"/>
      </w:divBdr>
    </w:div>
    <w:div w:id="1629819778">
      <w:bodyDiv w:val="1"/>
      <w:marLeft w:val="0"/>
      <w:marRight w:val="0"/>
      <w:marTop w:val="0"/>
      <w:marBottom w:val="0"/>
      <w:divBdr>
        <w:top w:val="none" w:sz="0" w:space="0" w:color="auto"/>
        <w:left w:val="none" w:sz="0" w:space="0" w:color="auto"/>
        <w:bottom w:val="none" w:sz="0" w:space="0" w:color="auto"/>
        <w:right w:val="none" w:sz="0" w:space="0" w:color="auto"/>
      </w:divBdr>
    </w:div>
    <w:div w:id="1908833072">
      <w:bodyDiv w:val="1"/>
      <w:marLeft w:val="0"/>
      <w:marRight w:val="0"/>
      <w:marTop w:val="0"/>
      <w:marBottom w:val="0"/>
      <w:divBdr>
        <w:top w:val="none" w:sz="0" w:space="0" w:color="auto"/>
        <w:left w:val="none" w:sz="0" w:space="0" w:color="auto"/>
        <w:bottom w:val="none" w:sz="0" w:space="0" w:color="auto"/>
        <w:right w:val="none" w:sz="0" w:space="0" w:color="auto"/>
      </w:divBdr>
      <w:divsChild>
        <w:div w:id="33239226">
          <w:marLeft w:val="547"/>
          <w:marRight w:val="0"/>
          <w:marTop w:val="230"/>
          <w:marBottom w:val="0"/>
          <w:divBdr>
            <w:top w:val="none" w:sz="0" w:space="0" w:color="auto"/>
            <w:left w:val="none" w:sz="0" w:space="0" w:color="auto"/>
            <w:bottom w:val="none" w:sz="0" w:space="0" w:color="auto"/>
            <w:right w:val="none" w:sz="0" w:space="0" w:color="auto"/>
          </w:divBdr>
        </w:div>
        <w:div w:id="169873332">
          <w:marLeft w:val="1166"/>
          <w:marRight w:val="0"/>
          <w:marTop w:val="211"/>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aacu.org/leap"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328830-A98E-4E65-9354-A2541A8D6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766</Words>
  <Characters>4368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Fernandez, Sarah Socorro</dc:creator>
  <cp:keywords/>
  <dc:description/>
  <cp:lastModifiedBy>Kinzie, Jillian L.</cp:lastModifiedBy>
  <cp:revision>9</cp:revision>
  <cp:lastPrinted>2016-10-13T20:41:00Z</cp:lastPrinted>
  <dcterms:created xsi:type="dcterms:W3CDTF">2019-07-06T19:16:00Z</dcterms:created>
  <dcterms:modified xsi:type="dcterms:W3CDTF">2019-07-09T04:19:00Z</dcterms:modified>
</cp:coreProperties>
</file>