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FD" w:rsidRDefault="00CA0FD2">
      <w:pPr>
        <w:rPr>
          <w:b/>
        </w:rPr>
      </w:pPr>
      <w:r>
        <w:rPr>
          <w:b/>
        </w:rPr>
        <w:t xml:space="preserve">Matter and Motion </w:t>
      </w:r>
    </w:p>
    <w:p w:rsidR="00CA0FD2" w:rsidRDefault="00CA0FD2">
      <w:r>
        <w:rPr>
          <w:b/>
        </w:rPr>
        <w:t>Lab 23 [Monday Week 16 math lab]</w:t>
      </w:r>
    </w:p>
    <w:p w:rsidR="00CA0FD2" w:rsidRDefault="00CA0FD2">
      <w:r>
        <w:t>Today’s lab is focused primarily on some of the integrals of trig functions from Section 7.2.  You will get a chance to examine some of the functions visually on the computer, and also do some hand calculations using trig identities.  However, before you get to that work, we ask you to take a few minutes (if you haven’t already) to reflect on your work this quarter, and your progress towards earning credit.</w:t>
      </w:r>
    </w:p>
    <w:p w:rsidR="00CA0FD2" w:rsidRDefault="00CA0FD2">
      <w:r>
        <w:rPr>
          <w:b/>
        </w:rPr>
        <w:t xml:space="preserve">Part 1: </w:t>
      </w:r>
      <w:r>
        <w:t>Week 5 credit self-check</w:t>
      </w:r>
    </w:p>
    <w:p w:rsidR="00CA0FD2" w:rsidRDefault="00CA0FD2">
      <w:r>
        <w:t>If you haven’t already done so, read through the post “</w:t>
      </w:r>
      <w:r w:rsidRPr="00CA0FD2">
        <w:t>Winter Mid-Quarter Self-Check and Warnings</w:t>
      </w:r>
      <w:r>
        <w:t>” at our website: sites.evergreen.edu/</w:t>
      </w:r>
      <w:proofErr w:type="gramStart"/>
      <w:r>
        <w:t>motion .</w:t>
      </w:r>
      <w:proofErr w:type="gramEnd"/>
      <w:r>
        <w:t xml:space="preserve">   You should be able to use this information to determine whether you are currently in danger of losing credit in winter quarter.  We hope you will already have a good sense for this, but we have provided this information explicitly to help you reflect concretely on your work so far.  If you want to follow up on your individual situation, let me know.</w:t>
      </w:r>
    </w:p>
    <w:p w:rsidR="00CA0FD2" w:rsidRDefault="00CA0FD2">
      <w:pPr>
        <w:rPr>
          <w:rFonts w:eastAsiaTheme="minorEastAsia"/>
        </w:rPr>
      </w:pPr>
      <w:r>
        <w:rPr>
          <w:b/>
        </w:rPr>
        <w:t xml:space="preserve">Part 2: </w:t>
      </w:r>
      <w:r>
        <w:t xml:space="preserve">The functions </w:t>
      </w:r>
      <m:oMath>
        <m:func>
          <m:funcPr>
            <m:ctrlPr>
              <w:rPr>
                <w:rFonts w:ascii="Cambria Math" w:hAnsi="Cambria Math"/>
                <w:i/>
              </w:rPr>
            </m:ctrlPr>
          </m:funcPr>
          <m:fName>
            <m:r>
              <m:rPr>
                <m:sty m:val="p"/>
              </m:rPr>
              <w:rPr>
                <w:rFonts w:ascii="Cambria Math" w:hAnsi="Cambria Math"/>
              </w:rPr>
              <m:t>sin</m:t>
            </m:r>
          </m:fName>
          <m:e>
            <m:r>
              <w:rPr>
                <w:rFonts w:ascii="Cambria Math" w:hAnsi="Cambria Math"/>
              </w:rPr>
              <m:t>(px)</m:t>
            </m:r>
          </m:e>
        </m:func>
      </m:oMath>
      <w:r w:rsidR="000163D2">
        <w:rPr>
          <w:rFonts w:eastAsiaTheme="minorEastAsia"/>
        </w:rPr>
        <w:t xml:space="preserve"> and </w:t>
      </w:r>
      <w:proofErr w:type="gramStart"/>
      <w:r w:rsidR="000163D2">
        <w:rPr>
          <w:rFonts w:eastAsiaTheme="minorEastAsia"/>
        </w:rPr>
        <w:t>cos(</w:t>
      </w:r>
      <w:proofErr w:type="spellStart"/>
      <w:proofErr w:type="gramEnd"/>
      <w:r w:rsidR="000163D2">
        <w:rPr>
          <w:rFonts w:eastAsiaTheme="minorEastAsia"/>
          <w:i/>
        </w:rPr>
        <w:t>qx</w:t>
      </w:r>
      <w:proofErr w:type="spellEnd"/>
      <w:r w:rsidR="000163D2">
        <w:rPr>
          <w:rFonts w:eastAsiaTheme="minorEastAsia"/>
        </w:rPr>
        <w:t>)</w:t>
      </w:r>
    </w:p>
    <w:p w:rsidR="000163D2" w:rsidRPr="000163D2" w:rsidRDefault="000163D2" w:rsidP="000163D2">
      <w:pPr>
        <w:pStyle w:val="ListParagraph"/>
        <w:numPr>
          <w:ilvl w:val="0"/>
          <w:numId w:val="1"/>
        </w:numPr>
      </w:pPr>
      <w:r w:rsidRPr="000163D2">
        <w:rPr>
          <w:rFonts w:eastAsiaTheme="minorEastAsia"/>
        </w:rPr>
        <w:t xml:space="preserve">In your notebook, hand sketch a several examples of functions </w:t>
      </w:r>
      <w:proofErr w:type="gramStart"/>
      <w:r w:rsidRPr="000163D2">
        <w:rPr>
          <w:rFonts w:eastAsiaTheme="minorEastAsia"/>
        </w:rPr>
        <w:t>sin(</w:t>
      </w:r>
      <w:proofErr w:type="spellStart"/>
      <w:proofErr w:type="gramEnd"/>
      <w:r w:rsidRPr="000163D2">
        <w:rPr>
          <w:rFonts w:eastAsiaTheme="minorEastAsia"/>
          <w:i/>
        </w:rPr>
        <w:t>px</w:t>
      </w:r>
      <w:proofErr w:type="spellEnd"/>
      <w:r w:rsidRPr="000163D2">
        <w:rPr>
          <w:rFonts w:eastAsiaTheme="minorEastAsia"/>
        </w:rPr>
        <w:t xml:space="preserve">) and </w:t>
      </w:r>
      <w:proofErr w:type="spellStart"/>
      <w:r w:rsidRPr="000163D2">
        <w:rPr>
          <w:rFonts w:eastAsiaTheme="minorEastAsia"/>
        </w:rPr>
        <w:t>cos</w:t>
      </w:r>
      <w:proofErr w:type="spellEnd"/>
      <w:r w:rsidRPr="000163D2">
        <w:rPr>
          <w:rFonts w:eastAsiaTheme="minorEastAsia"/>
          <w:i/>
        </w:rPr>
        <w:t>(</w:t>
      </w:r>
      <w:proofErr w:type="spellStart"/>
      <w:r w:rsidRPr="000163D2">
        <w:rPr>
          <w:rFonts w:eastAsiaTheme="minorEastAsia"/>
          <w:i/>
        </w:rPr>
        <w:t>qx</w:t>
      </w:r>
      <w:proofErr w:type="spellEnd"/>
      <w:r w:rsidRPr="000163D2">
        <w:rPr>
          <w:rFonts w:eastAsiaTheme="minorEastAsia"/>
          <w:i/>
        </w:rPr>
        <w:t>)</w:t>
      </w:r>
      <w:r w:rsidRPr="000163D2">
        <w:rPr>
          <w:rFonts w:eastAsiaTheme="minorEastAsia"/>
        </w:rPr>
        <w:t xml:space="preserve">.  This should be quick once you get a feel for it.  Choose any integer values of </w:t>
      </w:r>
      <w:r w:rsidRPr="000163D2">
        <w:rPr>
          <w:rFonts w:eastAsiaTheme="minorEastAsia"/>
          <w:i/>
        </w:rPr>
        <w:t>p</w:t>
      </w:r>
      <w:r w:rsidRPr="000163D2">
        <w:rPr>
          <w:rFonts w:eastAsiaTheme="minorEastAsia"/>
        </w:rPr>
        <w:t xml:space="preserve"> and </w:t>
      </w:r>
      <w:r w:rsidRPr="000163D2">
        <w:rPr>
          <w:rFonts w:eastAsiaTheme="minorEastAsia"/>
          <w:i/>
        </w:rPr>
        <w:t>q</w:t>
      </w:r>
      <w:r w:rsidRPr="000163D2">
        <w:rPr>
          <w:rFonts w:eastAsiaTheme="minorEastAsia"/>
        </w:rPr>
        <w:t>.</w:t>
      </w:r>
    </w:p>
    <w:p w:rsidR="000163D2" w:rsidRPr="000163D2" w:rsidRDefault="000163D2" w:rsidP="000163D2">
      <w:pPr>
        <w:pStyle w:val="ListParagraph"/>
        <w:numPr>
          <w:ilvl w:val="0"/>
          <w:numId w:val="1"/>
        </w:numPr>
      </w:pPr>
      <w:r>
        <w:rPr>
          <w:rFonts w:eastAsiaTheme="minorEastAsia"/>
        </w:rPr>
        <w:t xml:space="preserve">Choose two of the functions you sketched, and multiply them together.  This will not be quick, but </w:t>
      </w:r>
      <w:proofErr w:type="spellStart"/>
      <w:proofErr w:type="gramStart"/>
      <w:r>
        <w:rPr>
          <w:rFonts w:eastAsiaTheme="minorEastAsia"/>
        </w:rPr>
        <w:t>its</w:t>
      </w:r>
      <w:proofErr w:type="spellEnd"/>
      <w:proofErr w:type="gramEnd"/>
      <w:r>
        <w:rPr>
          <w:rFonts w:eastAsiaTheme="minorEastAsia"/>
        </w:rPr>
        <w:t xml:space="preserve"> worth getting a feel for how it works.  Get a sense for max/min locations and zeroes.  For example, you might sketch </w:t>
      </w:r>
      <w:proofErr w:type="gramStart"/>
      <w:r>
        <w:rPr>
          <w:rFonts w:eastAsiaTheme="minorEastAsia"/>
        </w:rPr>
        <w:t>sin(</w:t>
      </w:r>
      <w:proofErr w:type="gramEnd"/>
      <w:r>
        <w:rPr>
          <w:rFonts w:eastAsiaTheme="minorEastAsia"/>
          <w:i/>
        </w:rPr>
        <w:t>3x</w:t>
      </w:r>
      <w:r>
        <w:rPr>
          <w:rFonts w:eastAsiaTheme="minorEastAsia"/>
        </w:rPr>
        <w:t>)sin(</w:t>
      </w:r>
      <w:r>
        <w:rPr>
          <w:rFonts w:eastAsiaTheme="minorEastAsia"/>
          <w:i/>
        </w:rPr>
        <w:t>x</w:t>
      </w:r>
      <w:r>
        <w:rPr>
          <w:rFonts w:eastAsiaTheme="minorEastAsia"/>
        </w:rPr>
        <w:t>), or sin(x)</w:t>
      </w:r>
      <w:proofErr w:type="spellStart"/>
      <w:r>
        <w:rPr>
          <w:rFonts w:eastAsiaTheme="minorEastAsia"/>
        </w:rPr>
        <w:t>cos</w:t>
      </w:r>
      <w:proofErr w:type="spellEnd"/>
      <w:r>
        <w:rPr>
          <w:rFonts w:eastAsiaTheme="minorEastAsia"/>
        </w:rPr>
        <w:t>(</w:t>
      </w:r>
      <w:r>
        <w:rPr>
          <w:rFonts w:eastAsiaTheme="minorEastAsia"/>
          <w:i/>
        </w:rPr>
        <w:t>2x</w:t>
      </w:r>
      <w:r>
        <w:rPr>
          <w:rFonts w:eastAsiaTheme="minorEastAsia"/>
        </w:rPr>
        <w:t>).</w:t>
      </w:r>
    </w:p>
    <w:p w:rsidR="000163D2" w:rsidRPr="000163D2" w:rsidRDefault="000163D2" w:rsidP="000163D2">
      <w:pPr>
        <w:pStyle w:val="ListParagraph"/>
        <w:numPr>
          <w:ilvl w:val="0"/>
          <w:numId w:val="1"/>
        </w:numPr>
      </w:pPr>
      <w:r>
        <w:rPr>
          <w:rFonts w:eastAsiaTheme="minorEastAsia"/>
        </w:rPr>
        <w:t>Check in with a neighbor to see what their graph turned out to be.</w:t>
      </w:r>
    </w:p>
    <w:p w:rsidR="000163D2" w:rsidRDefault="000163D2" w:rsidP="000163D2">
      <w:pPr>
        <w:rPr>
          <w:rFonts w:eastAsiaTheme="minorEastAsia"/>
        </w:rPr>
      </w:pPr>
      <w:r>
        <w:rPr>
          <w:b/>
        </w:rPr>
        <w:t xml:space="preserve">Part 3: </w:t>
      </w:r>
      <w:r>
        <w:t xml:space="preserve">Understanding the </w:t>
      </w:r>
      <w:proofErr w:type="gramStart"/>
      <w:r>
        <w:t xml:space="preserve">integrals </w:t>
      </w:r>
      <w:proofErr w:type="gramEnd"/>
      <m:oMath>
        <m:nary>
          <m:naryPr>
            <m:limLoc m:val="subSup"/>
            <m:ctrlPr>
              <w:rPr>
                <w:rFonts w:ascii="Cambria Math" w:hAnsi="Cambria Math"/>
                <w:i/>
              </w:rPr>
            </m:ctrlPr>
          </m:naryPr>
          <m:sub>
            <m:r>
              <w:rPr>
                <w:rFonts w:ascii="Cambria Math" w:hAnsi="Cambria Math"/>
              </w:rPr>
              <m:t>0</m:t>
            </m:r>
          </m:sub>
          <m:sup>
            <m:r>
              <w:rPr>
                <w:rFonts w:ascii="Cambria Math" w:hAnsi="Cambria Math"/>
              </w:rPr>
              <m:t>2π</m:t>
            </m:r>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px</m:t>
                    </m:r>
                  </m:e>
                </m:d>
              </m:e>
            </m:func>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qx</m:t>
                    </m:r>
                  </m:e>
                </m:d>
              </m:e>
            </m:func>
            <m:r>
              <w:rPr>
                <w:rFonts w:ascii="Cambria Math" w:hAnsi="Cambria Math"/>
              </w:rPr>
              <m:t>d</m:t>
            </m:r>
            <m:r>
              <w:rPr>
                <w:rFonts w:ascii="Cambria Math" w:hAnsi="Cambria Math"/>
              </w:rPr>
              <m:t>x</m:t>
            </m:r>
          </m:e>
        </m:nary>
      </m:oMath>
      <w:r>
        <w:rPr>
          <w:rFonts w:eastAsiaTheme="minorEastAsia"/>
        </w:rPr>
        <w:t>.</w:t>
      </w:r>
    </w:p>
    <w:p w:rsidR="000163D2" w:rsidRDefault="000163D2" w:rsidP="000163D2">
      <w:pPr>
        <w:pStyle w:val="ListParagraph"/>
        <w:numPr>
          <w:ilvl w:val="0"/>
          <w:numId w:val="1"/>
        </w:numPr>
      </w:pPr>
      <w:r>
        <w:t xml:space="preserve">Go to the Riemann Sum </w:t>
      </w:r>
      <w:proofErr w:type="spellStart"/>
      <w:r>
        <w:t>GeoGebra</w:t>
      </w:r>
      <w:proofErr w:type="spellEnd"/>
      <w:r>
        <w:t xml:space="preserve"> applet that we have used before: </w:t>
      </w:r>
      <w:hyperlink r:id="rId6" w:history="1">
        <w:r w:rsidRPr="008B14A0">
          <w:rPr>
            <w:rStyle w:val="Hyperlink"/>
          </w:rPr>
          <w:t>http://webspace.ship.edu/msrenault/GeoGebraCalculus/integration_riemann_sum.html</w:t>
        </w:r>
      </w:hyperlink>
      <w:r>
        <w:t xml:space="preserve"> .  Unclick all the “point placement” boxes, and set n=100.  Start with f(x</w:t>
      </w:r>
      <w:proofErr w:type="gramStart"/>
      <w:r>
        <w:t>)=</w:t>
      </w:r>
      <w:proofErr w:type="gramEnd"/>
      <w:r>
        <w:t>sin(x) and adjust the upper and lower bounds so you are integrating from 0 to 2pi (as closely as possible).  What should the integral be?</w:t>
      </w:r>
    </w:p>
    <w:p w:rsidR="000163D2" w:rsidRDefault="000163D2" w:rsidP="000163D2">
      <w:pPr>
        <w:pStyle w:val="ListParagraph"/>
        <w:numPr>
          <w:ilvl w:val="0"/>
          <w:numId w:val="1"/>
        </w:numPr>
      </w:pPr>
      <w:r>
        <w:t xml:space="preserve">Now change f(x) to check your work in Part 2.  If you were confident in Part 2, then you can just check your graph of the product in question #2.  </w:t>
      </w:r>
      <w:r w:rsidR="00773415">
        <w:t xml:space="preserve">What is the integral of the product you chose?  Does this conform </w:t>
      </w:r>
      <w:proofErr w:type="gramStart"/>
      <w:r w:rsidR="00773415">
        <w:t>with</w:t>
      </w:r>
      <w:proofErr w:type="gramEnd"/>
      <w:r w:rsidR="00773415">
        <w:t xml:space="preserve"> the claim </w:t>
      </w:r>
      <w:proofErr w:type="spellStart"/>
      <w:r w:rsidR="00773415">
        <w:t>Strang</w:t>
      </w:r>
      <w:proofErr w:type="spellEnd"/>
      <w:r w:rsidR="00773415">
        <w:t xml:space="preserve"> makes in Section 7.2 about this type of integral?</w:t>
      </w:r>
    </w:p>
    <w:p w:rsidR="00773415" w:rsidRPr="00773415" w:rsidRDefault="00773415" w:rsidP="000163D2">
      <w:pPr>
        <w:pStyle w:val="ListParagraph"/>
        <w:numPr>
          <w:ilvl w:val="0"/>
          <w:numId w:val="1"/>
        </w:numPr>
      </w:pPr>
      <w:r>
        <w:t xml:space="preserve">State </w:t>
      </w:r>
      <w:proofErr w:type="spellStart"/>
      <w:r>
        <w:t>Strang’s</w:t>
      </w:r>
      <w:proofErr w:type="spellEnd"/>
      <w:r>
        <w:t xml:space="preserve"> generalization about the values of the integrals </w:t>
      </w:r>
      <m:oMath>
        <m:nary>
          <m:naryPr>
            <m:limLoc m:val="subSup"/>
            <m:ctrlPr>
              <w:rPr>
                <w:rFonts w:ascii="Cambria Math" w:hAnsi="Cambria Math"/>
                <w:i/>
              </w:rPr>
            </m:ctrlPr>
          </m:naryPr>
          <m:sub>
            <m:r>
              <w:rPr>
                <w:rFonts w:ascii="Cambria Math" w:hAnsi="Cambria Math"/>
              </w:rPr>
              <m:t>0</m:t>
            </m:r>
          </m:sub>
          <m:sup>
            <m:r>
              <w:rPr>
                <w:rFonts w:ascii="Cambria Math" w:hAnsi="Cambria Math"/>
              </w:rPr>
              <m:t>2π</m:t>
            </m:r>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px</m:t>
                    </m:r>
                  </m:e>
                </m:d>
              </m:e>
            </m:func>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qx</m:t>
                    </m:r>
                  </m:e>
                </m:d>
              </m:e>
            </m:func>
            <m:r>
              <w:rPr>
                <w:rFonts w:ascii="Cambria Math" w:hAnsi="Cambria Math"/>
              </w:rPr>
              <m:t>d</m:t>
            </m:r>
            <m:r>
              <w:rPr>
                <w:rFonts w:ascii="Cambria Math" w:hAnsi="Cambria Math"/>
              </w:rPr>
              <m:t>x</m:t>
            </m:r>
          </m:e>
        </m:nary>
      </m:oMath>
      <w:r>
        <w:rPr>
          <w:rFonts w:eastAsiaTheme="minorEastAsia"/>
        </w:rPr>
        <w:t xml:space="preserve"> </w:t>
      </w:r>
      <w:proofErr w:type="gramStart"/>
      <w:r>
        <w:rPr>
          <w:rFonts w:eastAsiaTheme="minorEastAsia"/>
        </w:rPr>
        <w:t xml:space="preserve">and </w:t>
      </w:r>
      <w:proofErr w:type="gramEnd"/>
      <m:oMath>
        <m:nary>
          <m:naryPr>
            <m:limLoc m:val="subSup"/>
            <m:ctrlPr>
              <w:rPr>
                <w:rFonts w:ascii="Cambria Math" w:hAnsi="Cambria Math"/>
                <w:i/>
              </w:rPr>
            </m:ctrlPr>
          </m:naryPr>
          <m:sub>
            <m:r>
              <w:rPr>
                <w:rFonts w:ascii="Cambria Math" w:hAnsi="Cambria Math"/>
              </w:rPr>
              <m:t>0</m:t>
            </m:r>
          </m:sub>
          <m:sup>
            <m:r>
              <w:rPr>
                <w:rFonts w:ascii="Cambria Math" w:hAnsi="Cambria Math"/>
              </w:rPr>
              <m:t>2π</m:t>
            </m:r>
          </m:sup>
          <m:e>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px</m:t>
                    </m:r>
                  </m:e>
                </m:d>
              </m:e>
            </m:func>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qx</m:t>
                    </m:r>
                  </m:e>
                </m:d>
              </m:e>
            </m:func>
            <m:r>
              <w:rPr>
                <w:rFonts w:ascii="Cambria Math" w:hAnsi="Cambria Math"/>
              </w:rPr>
              <m:t>d</m:t>
            </m:r>
            <m:r>
              <w:rPr>
                <w:rFonts w:ascii="Cambria Math" w:hAnsi="Cambria Math"/>
              </w:rPr>
              <m:t>x</m:t>
            </m:r>
          </m:e>
        </m:nary>
      </m:oMath>
      <w:r>
        <w:rPr>
          <w:rFonts w:eastAsiaTheme="minorEastAsia"/>
        </w:rPr>
        <w:t xml:space="preserve"> and </w:t>
      </w:r>
      <m:oMath>
        <m:nary>
          <m:naryPr>
            <m:limLoc m:val="subSup"/>
            <m:ctrlPr>
              <w:rPr>
                <w:rFonts w:ascii="Cambria Math" w:hAnsi="Cambria Math"/>
                <w:i/>
              </w:rPr>
            </m:ctrlPr>
          </m:naryPr>
          <m:sub>
            <m:r>
              <w:rPr>
                <w:rFonts w:ascii="Cambria Math" w:hAnsi="Cambria Math"/>
              </w:rPr>
              <m:t>0</m:t>
            </m:r>
          </m:sub>
          <m:sup>
            <m:r>
              <w:rPr>
                <w:rFonts w:ascii="Cambria Math" w:hAnsi="Cambria Math"/>
              </w:rPr>
              <m:t>2π</m:t>
            </m:r>
          </m:sup>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px</m:t>
                    </m:r>
                  </m:e>
                </m:d>
              </m:e>
            </m:func>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qx</m:t>
                    </m:r>
                  </m:e>
                </m:d>
              </m:e>
            </m:func>
            <m:r>
              <w:rPr>
                <w:rFonts w:ascii="Cambria Math" w:hAnsi="Cambria Math"/>
              </w:rPr>
              <m:t>d</m:t>
            </m:r>
            <m:r>
              <w:rPr>
                <w:rFonts w:ascii="Cambria Math" w:hAnsi="Cambria Math"/>
              </w:rPr>
              <m:t>x</m:t>
            </m:r>
          </m:e>
        </m:nary>
      </m:oMath>
      <w:r>
        <w:rPr>
          <w:rFonts w:eastAsiaTheme="minorEastAsia"/>
        </w:rPr>
        <w:t>.</w:t>
      </w:r>
    </w:p>
    <w:p w:rsidR="00773415" w:rsidRPr="00773415" w:rsidRDefault="00773415" w:rsidP="000163D2">
      <w:pPr>
        <w:pStyle w:val="ListParagraph"/>
        <w:numPr>
          <w:ilvl w:val="0"/>
          <w:numId w:val="1"/>
        </w:numPr>
      </w:pPr>
      <w:r>
        <w:rPr>
          <w:rFonts w:eastAsiaTheme="minorEastAsia"/>
        </w:rPr>
        <w:t xml:space="preserve">We will try to understand </w:t>
      </w:r>
      <w:proofErr w:type="spellStart"/>
      <w:r>
        <w:rPr>
          <w:rFonts w:eastAsiaTheme="minorEastAsia"/>
        </w:rPr>
        <w:t>Strang’s</w:t>
      </w:r>
      <w:proofErr w:type="spellEnd"/>
      <w:r>
        <w:rPr>
          <w:rFonts w:eastAsiaTheme="minorEastAsia"/>
        </w:rPr>
        <w:t xml:space="preserve"> generalization in two ways:</w:t>
      </w:r>
    </w:p>
    <w:p w:rsidR="00773415" w:rsidRPr="00773415" w:rsidRDefault="00773415" w:rsidP="00773415">
      <w:pPr>
        <w:pStyle w:val="ListParagraph"/>
        <w:numPr>
          <w:ilvl w:val="0"/>
          <w:numId w:val="2"/>
        </w:numPr>
      </w:pPr>
      <w:r>
        <w:rPr>
          <w:rFonts w:eastAsiaTheme="minorEastAsia"/>
        </w:rPr>
        <w:t xml:space="preserve">Graphically: use </w:t>
      </w:r>
      <w:proofErr w:type="spellStart"/>
      <w:r>
        <w:rPr>
          <w:rFonts w:eastAsiaTheme="minorEastAsia"/>
        </w:rPr>
        <w:t>GeoGebra</w:t>
      </w:r>
      <w:proofErr w:type="spellEnd"/>
      <w:r>
        <w:rPr>
          <w:rFonts w:eastAsiaTheme="minorEastAsia"/>
        </w:rPr>
        <w:t xml:space="preserve"> to graph several of the product functions given in question #6.  Use the graphs to try to explain the values of the integrals that you got from </w:t>
      </w:r>
      <w:proofErr w:type="spellStart"/>
      <w:r>
        <w:rPr>
          <w:rFonts w:eastAsiaTheme="minorEastAsia"/>
        </w:rPr>
        <w:t>Strang</w:t>
      </w:r>
      <w:proofErr w:type="spellEnd"/>
      <w:r>
        <w:rPr>
          <w:rFonts w:eastAsiaTheme="minorEastAsia"/>
        </w:rPr>
        <w:t xml:space="preserve">.  </w:t>
      </w:r>
    </w:p>
    <w:p w:rsidR="00773415" w:rsidRPr="00773415" w:rsidRDefault="00773415" w:rsidP="00773415">
      <w:pPr>
        <w:pStyle w:val="ListParagraph"/>
        <w:numPr>
          <w:ilvl w:val="0"/>
          <w:numId w:val="2"/>
        </w:numPr>
      </w:pPr>
      <w:r>
        <w:rPr>
          <w:rFonts w:eastAsiaTheme="minorEastAsia"/>
        </w:rPr>
        <w:t>Algebraically: These integrals can be calculated by using the following three trig identities:</w:t>
      </w:r>
    </w:p>
    <w:p w:rsidR="00773415" w:rsidRPr="00773415" w:rsidRDefault="00773415" w:rsidP="00773415">
      <w:pPr>
        <w:ind w:left="1080"/>
        <w:rPr>
          <w:rFonts w:eastAsiaTheme="minorEastAsia"/>
        </w:rPr>
      </w:pPr>
      <m:oMathPara>
        <m:oMath>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px</m:t>
                  </m:r>
                </m:e>
              </m:d>
            </m:e>
          </m:func>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m:rPr>
                      <m:sty m:val="p"/>
                    </m:rPr>
                    <w:rPr>
                      <w:rFonts w:ascii="Cambria Math" w:hAnsi="Cambria Math"/>
                    </w:rPr>
                    <m:t>qx</m:t>
                  </m:r>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p+q</m:t>
                  </m:r>
                </m:e>
              </m:d>
            </m:e>
          </m:func>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2</m:t>
              </m:r>
            </m:den>
          </m:f>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p-q</m:t>
                  </m:r>
                </m:e>
              </m:d>
            </m:e>
          </m:func>
          <m:r>
            <w:rPr>
              <w:rFonts w:ascii="Cambria Math" w:hAnsi="Cambria Math"/>
            </w:rPr>
            <m:t>x</m:t>
          </m:r>
        </m:oMath>
      </m:oMathPara>
    </w:p>
    <w:p w:rsidR="00773415" w:rsidRPr="00773415" w:rsidRDefault="00773415" w:rsidP="00773415">
      <w:pPr>
        <w:ind w:left="1080"/>
        <w:rPr>
          <w:rFonts w:eastAsiaTheme="minorEastAsia"/>
        </w:rPr>
      </w:pPr>
      <m:oMathPara>
        <m:oMath>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px</m:t>
                  </m:r>
                </m:e>
              </m:d>
            </m:e>
          </m:func>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m:rPr>
                      <m:sty m:val="p"/>
                    </m:rPr>
                    <w:rPr>
                      <w:rFonts w:ascii="Cambria Math" w:hAnsi="Cambria Math"/>
                    </w:rPr>
                    <m:t>qx</m:t>
                  </m:r>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m:rPr>
                      <m:sty m:val="p"/>
                    </m:rPr>
                    <w:rPr>
                      <w:rFonts w:ascii="Cambria Math" w:hAnsi="Cambria Math"/>
                    </w:rPr>
                    <m:t>p+q</m:t>
                  </m:r>
                </m:e>
              </m:d>
            </m:e>
          </m:func>
          <m:r>
            <m:rPr>
              <m:sty m:val="p"/>
            </m:rPr>
            <w:rPr>
              <w:rFonts w:ascii="Cambria Math" w:hAnsi="Cambria Math"/>
            </w:rPr>
            <m:t>x+</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m:rPr>
                      <m:sty m:val="p"/>
                    </m:rPr>
                    <w:rPr>
                      <w:rFonts w:ascii="Cambria Math" w:hAnsi="Cambria Math"/>
                    </w:rPr>
                    <m:t>p-q</m:t>
                  </m:r>
                </m:e>
              </m:d>
            </m:e>
          </m:func>
          <m:r>
            <m:rPr>
              <m:sty m:val="p"/>
            </m:rPr>
            <w:rPr>
              <w:rFonts w:ascii="Cambria Math" w:hAnsi="Cambria Math"/>
            </w:rPr>
            <m:t>x</m:t>
          </m:r>
        </m:oMath>
      </m:oMathPara>
    </w:p>
    <w:p w:rsidR="00773415" w:rsidRPr="00773415" w:rsidRDefault="00773415" w:rsidP="00773415">
      <w:pPr>
        <w:ind w:left="1080"/>
        <w:rPr>
          <w:rFonts w:eastAsiaTheme="minorEastAsia"/>
        </w:rPr>
      </w:pPr>
      <m:oMathPara>
        <m:oMath>
          <m:r>
            <m:rPr>
              <m:sty m:val="p"/>
            </m:rPr>
            <w:rPr>
              <w:rFonts w:ascii="Cambria Math" w:hAnsi="Cambria Math"/>
            </w:rPr>
            <m:t>cos⁡(px)</m:t>
          </m:r>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qx</m:t>
                  </m:r>
                </m:e>
              </m:d>
            </m:e>
          </m:fun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p+q</m:t>
                  </m:r>
                </m:e>
              </m:d>
            </m:e>
          </m:func>
          <m:r>
            <w:rPr>
              <w:rFonts w:ascii="Cambria Math" w:hAnsi="Cambria Math"/>
            </w:rPr>
            <m:t>x+</m:t>
          </m:r>
          <m:f>
            <m:fPr>
              <m:ctrlPr>
                <w:rPr>
                  <w:rFonts w:ascii="Cambria Math" w:hAnsi="Cambria Math"/>
                  <w:i/>
                </w:rPr>
              </m:ctrlPr>
            </m:fPr>
            <m:num>
              <m:r>
                <w:rPr>
                  <w:rFonts w:ascii="Cambria Math" w:hAnsi="Cambria Math"/>
                </w:rPr>
                <m:t>1</m:t>
              </m:r>
            </m:num>
            <m:den>
              <m:r>
                <w:rPr>
                  <w:rFonts w:ascii="Cambria Math" w:hAnsi="Cambria Math"/>
                </w:rPr>
                <m:t>2</m:t>
              </m:r>
            </m:den>
          </m:f>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p-q</m:t>
                  </m:r>
                </m:e>
              </m:d>
            </m:e>
          </m:func>
          <m:r>
            <w:rPr>
              <w:rFonts w:ascii="Cambria Math" w:hAnsi="Cambria Math"/>
            </w:rPr>
            <m:t>x</m:t>
          </m:r>
        </m:oMath>
      </m:oMathPara>
    </w:p>
    <w:p w:rsidR="00773415" w:rsidRDefault="00773415" w:rsidP="00773415">
      <w:pPr>
        <w:ind w:left="1080"/>
        <w:rPr>
          <w:rFonts w:eastAsiaTheme="minorEastAsia"/>
        </w:rPr>
      </w:pPr>
      <w:r>
        <w:rPr>
          <w:rFonts w:eastAsiaTheme="minorEastAsia"/>
        </w:rPr>
        <w:t>Use these identities to calculate the integrals.</w:t>
      </w:r>
    </w:p>
    <w:p w:rsidR="00773415" w:rsidRDefault="00773415" w:rsidP="00773415">
      <w:pPr>
        <w:ind w:left="1080"/>
        <w:rPr>
          <w:rFonts w:eastAsiaTheme="minorEastAsia"/>
        </w:rPr>
      </w:pPr>
      <w:r>
        <w:rPr>
          <w:rFonts w:eastAsiaTheme="minorEastAsia"/>
        </w:rPr>
        <w:t>If you have time, derive these identities from others we have learned!</w:t>
      </w:r>
    </w:p>
    <w:p w:rsidR="00773415" w:rsidRDefault="00773415" w:rsidP="00773415">
      <w:pPr>
        <w:pStyle w:val="ListParagraph"/>
        <w:numPr>
          <w:ilvl w:val="0"/>
          <w:numId w:val="1"/>
        </w:numPr>
        <w:rPr>
          <w:rFonts w:eastAsiaTheme="minorEastAsia"/>
        </w:rPr>
      </w:pPr>
      <w:r>
        <w:rPr>
          <w:rFonts w:eastAsiaTheme="minorEastAsia"/>
        </w:rPr>
        <w:t>Two places to go from here (if you have even more time!):</w:t>
      </w:r>
    </w:p>
    <w:p w:rsidR="00773415" w:rsidRDefault="00773415" w:rsidP="00773415">
      <w:pPr>
        <w:pStyle w:val="ListParagraph"/>
        <w:numPr>
          <w:ilvl w:val="1"/>
          <w:numId w:val="1"/>
        </w:numPr>
        <w:rPr>
          <w:rFonts w:eastAsiaTheme="minorEastAsia"/>
        </w:rPr>
      </w:pPr>
      <w:proofErr w:type="spellStart"/>
      <w:r>
        <w:rPr>
          <w:rFonts w:eastAsiaTheme="minorEastAsia"/>
        </w:rPr>
        <w:t>Strang</w:t>
      </w:r>
      <w:proofErr w:type="spellEnd"/>
      <w:r>
        <w:rPr>
          <w:rFonts w:eastAsiaTheme="minorEastAsia"/>
        </w:rPr>
        <w:t xml:space="preserve"> comments that the integrals we have studied here are crucial to understanding Fourier </w:t>
      </w:r>
      <w:proofErr w:type="gramStart"/>
      <w:r>
        <w:rPr>
          <w:rFonts w:eastAsiaTheme="minorEastAsia"/>
        </w:rPr>
        <w:t>Series</w:t>
      </w:r>
      <w:proofErr w:type="gramEnd"/>
      <w:r>
        <w:rPr>
          <w:rFonts w:eastAsiaTheme="minorEastAsia"/>
        </w:rPr>
        <w:t>.  Ask me (or the internet) how to get started on this topic.</w:t>
      </w:r>
    </w:p>
    <w:p w:rsidR="00773415" w:rsidRDefault="00773415" w:rsidP="00773415">
      <w:pPr>
        <w:pStyle w:val="ListParagraph"/>
        <w:numPr>
          <w:ilvl w:val="1"/>
          <w:numId w:val="1"/>
        </w:numPr>
        <w:rPr>
          <w:rFonts w:eastAsiaTheme="minorEastAsia"/>
        </w:rPr>
      </w:pPr>
      <w:proofErr w:type="spellStart"/>
      <w:r>
        <w:rPr>
          <w:rFonts w:eastAsiaTheme="minorEastAsia"/>
        </w:rPr>
        <w:t>Strang’s</w:t>
      </w:r>
      <w:proofErr w:type="spellEnd"/>
      <w:r>
        <w:rPr>
          <w:rFonts w:eastAsiaTheme="minorEastAsia"/>
        </w:rPr>
        <w:t xml:space="preserve"> paragraphs on Mercator projections are intriguing and brief.  Try to expand his comments to work out for </w:t>
      </w:r>
      <w:proofErr w:type="gramStart"/>
      <w:r>
        <w:rPr>
          <w:rFonts w:eastAsiaTheme="minorEastAsia"/>
        </w:rPr>
        <w:t>yourself</w:t>
      </w:r>
      <w:proofErr w:type="gramEnd"/>
      <w:r>
        <w:rPr>
          <w:rFonts w:eastAsiaTheme="minorEastAsia"/>
        </w:rPr>
        <w:t xml:space="preserve"> the relevance of the integrals of sec(x) to this application to maps.</w:t>
      </w:r>
    </w:p>
    <w:p w:rsidR="00773415" w:rsidRPr="00773415" w:rsidRDefault="00773415" w:rsidP="00773415">
      <w:pPr>
        <w:pStyle w:val="ListParagraph"/>
        <w:ind w:left="1440"/>
        <w:rPr>
          <w:rFonts w:eastAsiaTheme="minorEastAsia"/>
        </w:rPr>
      </w:pPr>
      <w:bookmarkStart w:id="0" w:name="_GoBack"/>
      <w:bookmarkEnd w:id="0"/>
    </w:p>
    <w:p w:rsidR="00773415" w:rsidRPr="00773415" w:rsidRDefault="00773415" w:rsidP="00773415">
      <w:pPr>
        <w:ind w:left="1080"/>
        <w:rPr>
          <w:rFonts w:eastAsiaTheme="minorEastAsia"/>
        </w:rPr>
      </w:pPr>
    </w:p>
    <w:p w:rsidR="00773415" w:rsidRPr="000163D2" w:rsidRDefault="00773415" w:rsidP="00773415">
      <w:pPr>
        <w:ind w:left="1080"/>
      </w:pPr>
      <w:r>
        <w:rPr>
          <w:rFonts w:eastAsiaTheme="minorEastAsia"/>
        </w:rPr>
        <w:tab/>
      </w:r>
      <w:r>
        <w:rPr>
          <w:rFonts w:eastAsiaTheme="minorEastAsia"/>
        </w:rPr>
        <w:tab/>
      </w:r>
      <w:r>
        <w:rPr>
          <w:rFonts w:eastAsiaTheme="minorEastAsia"/>
        </w:rPr>
        <w:tab/>
      </w:r>
    </w:p>
    <w:sectPr w:rsidR="00773415" w:rsidRPr="00016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22BF"/>
    <w:multiLevelType w:val="hybridMultilevel"/>
    <w:tmpl w:val="004262A6"/>
    <w:lvl w:ilvl="0" w:tplc="22F445D8">
      <w:start w:val="1"/>
      <w:numFmt w:val="decimal"/>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4E5535"/>
    <w:multiLevelType w:val="hybridMultilevel"/>
    <w:tmpl w:val="7AD81AC4"/>
    <w:lvl w:ilvl="0" w:tplc="4930447A">
      <w:start w:val="1"/>
      <w:numFmt w:val="lowerLetter"/>
      <w:lvlText w:val="%1."/>
      <w:lvlJc w:val="left"/>
      <w:pPr>
        <w:ind w:left="1080" w:hanging="360"/>
      </w:pPr>
      <w:rPr>
        <w:rFonts w:eastAsiaTheme="minorEastAsi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AE9150B"/>
    <w:multiLevelType w:val="hybridMultilevel"/>
    <w:tmpl w:val="5AD86BEE"/>
    <w:lvl w:ilvl="0" w:tplc="6D6C3B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FD2"/>
    <w:rsid w:val="000163D2"/>
    <w:rsid w:val="00513AFD"/>
    <w:rsid w:val="00706BF8"/>
    <w:rsid w:val="00773415"/>
    <w:rsid w:val="00CA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3D2"/>
    <w:rPr>
      <w:color w:val="808080"/>
    </w:rPr>
  </w:style>
  <w:style w:type="paragraph" w:styleId="BalloonText">
    <w:name w:val="Balloon Text"/>
    <w:basedOn w:val="Normal"/>
    <w:link w:val="BalloonTextChar"/>
    <w:uiPriority w:val="99"/>
    <w:semiHidden/>
    <w:unhideWhenUsed/>
    <w:rsid w:val="00016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3D2"/>
    <w:rPr>
      <w:rFonts w:ascii="Tahoma" w:hAnsi="Tahoma" w:cs="Tahoma"/>
      <w:sz w:val="16"/>
      <w:szCs w:val="16"/>
    </w:rPr>
  </w:style>
  <w:style w:type="paragraph" w:styleId="ListParagraph">
    <w:name w:val="List Paragraph"/>
    <w:basedOn w:val="Normal"/>
    <w:uiPriority w:val="34"/>
    <w:qFormat/>
    <w:rsid w:val="000163D2"/>
    <w:pPr>
      <w:ind w:left="720"/>
      <w:contextualSpacing/>
    </w:pPr>
  </w:style>
  <w:style w:type="character" w:styleId="Hyperlink">
    <w:name w:val="Hyperlink"/>
    <w:basedOn w:val="DefaultParagraphFont"/>
    <w:uiPriority w:val="99"/>
    <w:unhideWhenUsed/>
    <w:rsid w:val="000163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3D2"/>
    <w:rPr>
      <w:color w:val="808080"/>
    </w:rPr>
  </w:style>
  <w:style w:type="paragraph" w:styleId="BalloonText">
    <w:name w:val="Balloon Text"/>
    <w:basedOn w:val="Normal"/>
    <w:link w:val="BalloonTextChar"/>
    <w:uiPriority w:val="99"/>
    <w:semiHidden/>
    <w:unhideWhenUsed/>
    <w:rsid w:val="00016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3D2"/>
    <w:rPr>
      <w:rFonts w:ascii="Tahoma" w:hAnsi="Tahoma" w:cs="Tahoma"/>
      <w:sz w:val="16"/>
      <w:szCs w:val="16"/>
    </w:rPr>
  </w:style>
  <w:style w:type="paragraph" w:styleId="ListParagraph">
    <w:name w:val="List Paragraph"/>
    <w:basedOn w:val="Normal"/>
    <w:uiPriority w:val="34"/>
    <w:qFormat/>
    <w:rsid w:val="000163D2"/>
    <w:pPr>
      <w:ind w:left="720"/>
      <w:contextualSpacing/>
    </w:pPr>
  </w:style>
  <w:style w:type="character" w:styleId="Hyperlink">
    <w:name w:val="Hyperlink"/>
    <w:basedOn w:val="DefaultParagraphFont"/>
    <w:uiPriority w:val="99"/>
    <w:unhideWhenUsed/>
    <w:rsid w:val="000163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05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space.ship.edu/msrenault/GeoGebraCalculus/integration_riemann_sum.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Evergreen State College</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hastingr</dc:creator>
  <cp:lastModifiedBy>hastingr</cp:lastModifiedBy>
  <cp:revision>1</cp:revision>
  <dcterms:created xsi:type="dcterms:W3CDTF">2015-02-09T19:33:00Z</dcterms:created>
  <dcterms:modified xsi:type="dcterms:W3CDTF">2015-02-09T20:12:00Z</dcterms:modified>
</cp:coreProperties>
</file>